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93EE4" w14:textId="77777777" w:rsidR="00170FA4" w:rsidRDefault="00170FA4" w:rsidP="008D03E3">
      <w:pPr>
        <w:spacing w:after="0"/>
        <w:jc w:val="center"/>
        <w:outlineLvl w:val="0"/>
        <w:rPr>
          <w:rFonts w:ascii="Times New Roman" w:eastAsia="Times New Roman" w:hAnsi="Times New Roman" w:cs="Times New Roman"/>
          <w:b/>
          <w:bCs/>
          <w:kern w:val="36"/>
          <w:sz w:val="24"/>
          <w:lang w:eastAsia="id-ID"/>
        </w:rPr>
      </w:pPr>
      <w:bookmarkStart w:id="0" w:name="_GoBack"/>
      <w:bookmarkEnd w:id="0"/>
      <w:r w:rsidRPr="00567A91">
        <w:rPr>
          <w:rFonts w:ascii="Times New Roman" w:eastAsia="Times New Roman" w:hAnsi="Times New Roman" w:cs="Times New Roman"/>
          <w:b/>
          <w:bCs/>
          <w:kern w:val="36"/>
          <w:sz w:val="24"/>
          <w:lang w:eastAsia="id-ID"/>
        </w:rPr>
        <w:t xml:space="preserve">APBN 2018 TAK TERSERAP MAKSIMAL, </w:t>
      </w:r>
    </w:p>
    <w:p w14:paraId="691A6134" w14:textId="226DDD8D" w:rsidR="008D03E3" w:rsidRDefault="00170FA4" w:rsidP="008D03E3">
      <w:pPr>
        <w:spacing w:after="0"/>
        <w:jc w:val="center"/>
        <w:outlineLvl w:val="0"/>
        <w:rPr>
          <w:rFonts w:ascii="Times New Roman" w:eastAsia="Times New Roman" w:hAnsi="Times New Roman" w:cs="Times New Roman"/>
          <w:b/>
          <w:bCs/>
          <w:kern w:val="36"/>
          <w:sz w:val="24"/>
          <w:lang w:eastAsia="id-ID"/>
        </w:rPr>
      </w:pPr>
      <w:r w:rsidRPr="00567A91">
        <w:rPr>
          <w:rFonts w:ascii="Times New Roman" w:eastAsia="Times New Roman" w:hAnsi="Times New Roman" w:cs="Times New Roman"/>
          <w:b/>
          <w:bCs/>
          <w:kern w:val="36"/>
          <w:sz w:val="24"/>
          <w:lang w:eastAsia="id-ID"/>
        </w:rPr>
        <w:t>PERINGATAN BAGI KEPALA DAERAH</w:t>
      </w:r>
    </w:p>
    <w:p w14:paraId="2B1FFE97" w14:textId="0576AFFD" w:rsidR="005E30A1" w:rsidRDefault="005E30A1" w:rsidP="008D03E3">
      <w:pPr>
        <w:spacing w:after="0"/>
        <w:jc w:val="center"/>
        <w:outlineLvl w:val="0"/>
        <w:rPr>
          <w:rFonts w:ascii="Times New Roman" w:eastAsia="Times New Roman" w:hAnsi="Times New Roman" w:cs="Times New Roman"/>
          <w:b/>
          <w:bCs/>
          <w:kern w:val="36"/>
          <w:sz w:val="24"/>
          <w:lang w:eastAsia="id-ID"/>
        </w:rPr>
      </w:pPr>
    </w:p>
    <w:p w14:paraId="354A3B2D" w14:textId="171D6C82" w:rsidR="005E30A1" w:rsidRPr="00567A91" w:rsidRDefault="00745EDC" w:rsidP="008D03E3">
      <w:pPr>
        <w:spacing w:after="0"/>
        <w:jc w:val="center"/>
        <w:outlineLvl w:val="0"/>
        <w:rPr>
          <w:rFonts w:ascii="Times New Roman" w:eastAsia="Times New Roman" w:hAnsi="Times New Roman" w:cs="Times New Roman"/>
          <w:b/>
          <w:bCs/>
          <w:kern w:val="36"/>
          <w:sz w:val="24"/>
          <w:lang w:eastAsia="id-ID"/>
        </w:rPr>
      </w:pPr>
      <w:r>
        <w:rPr>
          <w:noProof/>
        </w:rPr>
        <w:drawing>
          <wp:inline distT="0" distB="0" distL="0" distR="0" wp14:anchorId="0FCF98EA" wp14:editId="2D048D72">
            <wp:extent cx="3321050" cy="1860475"/>
            <wp:effectExtent l="19050" t="1905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2467" cy="1866871"/>
                    </a:xfrm>
                    <a:prstGeom prst="rect">
                      <a:avLst/>
                    </a:prstGeom>
                    <a:noFill/>
                    <a:ln w="6350">
                      <a:solidFill>
                        <a:schemeClr val="tx1"/>
                      </a:solidFill>
                    </a:ln>
                  </pic:spPr>
                </pic:pic>
              </a:graphicData>
            </a:graphic>
          </wp:inline>
        </w:drawing>
      </w:r>
    </w:p>
    <w:p w14:paraId="340FFB48" w14:textId="67D4671B" w:rsidR="008D03E3" w:rsidRDefault="0012500E" w:rsidP="00745EDC">
      <w:pPr>
        <w:spacing w:after="0"/>
        <w:jc w:val="center"/>
        <w:outlineLvl w:val="0"/>
        <w:rPr>
          <w:rFonts w:ascii="Times New Roman" w:eastAsia="Times New Roman" w:hAnsi="Times New Roman" w:cs="Times New Roman"/>
          <w:i/>
          <w:iCs/>
          <w:kern w:val="36"/>
          <w:sz w:val="20"/>
          <w:szCs w:val="20"/>
          <w:lang w:eastAsia="id-ID"/>
        </w:rPr>
      </w:pPr>
      <w:hyperlink r:id="rId9" w:history="1">
        <w:r w:rsidR="00745EDC" w:rsidRPr="008937B4">
          <w:rPr>
            <w:rStyle w:val="Hyperlink"/>
            <w:rFonts w:ascii="Times New Roman" w:eastAsia="Times New Roman" w:hAnsi="Times New Roman" w:cs="Times New Roman"/>
            <w:i/>
            <w:iCs/>
            <w:kern w:val="36"/>
            <w:sz w:val="20"/>
            <w:szCs w:val="20"/>
            <w:lang w:eastAsia="id-ID"/>
          </w:rPr>
          <w:t>https://www.suara.com</w:t>
        </w:r>
      </w:hyperlink>
    </w:p>
    <w:p w14:paraId="49538E61" w14:textId="77777777" w:rsidR="00745EDC" w:rsidRPr="00745EDC" w:rsidRDefault="00745EDC" w:rsidP="00745EDC">
      <w:pPr>
        <w:spacing w:after="0"/>
        <w:jc w:val="center"/>
        <w:outlineLvl w:val="0"/>
        <w:rPr>
          <w:rFonts w:ascii="Times New Roman" w:eastAsia="Times New Roman" w:hAnsi="Times New Roman" w:cs="Times New Roman"/>
          <w:kern w:val="36"/>
          <w:sz w:val="20"/>
          <w:szCs w:val="20"/>
          <w:lang w:eastAsia="id-ID"/>
        </w:rPr>
      </w:pPr>
    </w:p>
    <w:p w14:paraId="6427C881" w14:textId="1336BB20" w:rsidR="00654AF5" w:rsidRPr="00575BAE" w:rsidRDefault="00654AF5" w:rsidP="00575BAE">
      <w:pPr>
        <w:spacing w:after="0" w:line="312" w:lineRule="auto"/>
        <w:ind w:firstLine="284"/>
        <w:jc w:val="both"/>
        <w:rPr>
          <w:rFonts w:ascii="Times New Roman" w:hAnsi="Times New Roman" w:cs="Times New Roman"/>
          <w:sz w:val="24"/>
          <w:szCs w:val="24"/>
        </w:rPr>
      </w:pPr>
      <w:r w:rsidRPr="00575BAE">
        <w:rPr>
          <w:rStyle w:val="Kuat"/>
          <w:rFonts w:ascii="Times New Roman" w:hAnsi="Times New Roman" w:cs="Times New Roman"/>
          <w:sz w:val="24"/>
          <w:szCs w:val="24"/>
        </w:rPr>
        <w:t>Mataram (Suara NTB)</w:t>
      </w:r>
      <w:r w:rsidRPr="00575BAE">
        <w:rPr>
          <w:rFonts w:ascii="Times New Roman" w:hAnsi="Times New Roman" w:cs="Times New Roman"/>
          <w:sz w:val="24"/>
          <w:szCs w:val="24"/>
        </w:rPr>
        <w:t xml:space="preserve"> – Tidak terserapnya anggaran</w:t>
      </w:r>
      <w:r w:rsidR="009D47E9">
        <w:rPr>
          <w:rStyle w:val="ReferensiCatatanAkhir"/>
          <w:rFonts w:ascii="Times New Roman" w:hAnsi="Times New Roman" w:cs="Times New Roman"/>
          <w:sz w:val="24"/>
          <w:szCs w:val="24"/>
        </w:rPr>
        <w:endnoteReference w:id="1"/>
      </w:r>
      <w:r w:rsidRPr="00575BAE">
        <w:rPr>
          <w:rFonts w:ascii="Times New Roman" w:hAnsi="Times New Roman" w:cs="Times New Roman"/>
          <w:sz w:val="24"/>
          <w:szCs w:val="24"/>
        </w:rPr>
        <w:t xml:space="preserve"> pusat sebesar Rp900 miliar di NTB disayangkan Kepala Kantor Perwakilan </w:t>
      </w:r>
      <w:r w:rsidRPr="00575BAE">
        <w:rPr>
          <w:rFonts w:ascii="Times New Roman" w:eastAsia="Times New Roman" w:hAnsi="Times New Roman" w:cs="Times New Roman"/>
          <w:sz w:val="24"/>
          <w:szCs w:val="24"/>
          <w:lang w:val="en-ID"/>
        </w:rPr>
        <w:t>Bank</w:t>
      </w:r>
      <w:r w:rsidRPr="00575BAE">
        <w:rPr>
          <w:rFonts w:ascii="Times New Roman" w:hAnsi="Times New Roman" w:cs="Times New Roman"/>
          <w:sz w:val="24"/>
          <w:szCs w:val="24"/>
        </w:rPr>
        <w:t xml:space="preserve"> Indonesia Provinsi NTB, Achris Sarwani. Hal ini menjadi peringatan dan catatan penting bagi kepala daerah dari tingkat provinsi dan kabupaten/kota bagi pelaksanaan program pembangunan yang dilakukan jajaran di bawahnya.</w:t>
      </w:r>
    </w:p>
    <w:p w14:paraId="6543E46A" w14:textId="3B861C23" w:rsidR="00654AF5" w:rsidRPr="00575BAE" w:rsidRDefault="00654AF5" w:rsidP="00575BAE">
      <w:pPr>
        <w:pStyle w:val="NormalWeb"/>
        <w:spacing w:before="0" w:beforeAutospacing="0" w:after="0" w:afterAutospacing="0" w:line="312" w:lineRule="auto"/>
        <w:ind w:firstLine="284"/>
        <w:jc w:val="both"/>
      </w:pPr>
      <w:r w:rsidRPr="00575BAE">
        <w:t>Kanwil Direktorat Jenderal Perbendaharaan (DJPB) NTB mencatat hampir Rp900 miliar dana APBN 2018 tak mampu dibelanjakan oleh satuan kerja (Satker)</w:t>
      </w:r>
      <w:r w:rsidR="004C6BB5">
        <w:rPr>
          <w:rStyle w:val="ReferensiCatatanAkhir"/>
        </w:rPr>
        <w:endnoteReference w:id="2"/>
      </w:r>
      <w:r w:rsidRPr="00575BAE">
        <w:t xml:space="preserve"> di NTB. Hingga 31 Desember 2018, serapan dana APBN di NTB hanya mampu tercapai 93,4 persen.</w:t>
      </w:r>
    </w:p>
    <w:p w14:paraId="789E9165" w14:textId="35D6CE1C" w:rsidR="00654AF5" w:rsidRPr="00575BAE" w:rsidRDefault="00104073" w:rsidP="00575BAE">
      <w:pPr>
        <w:pStyle w:val="NormalWeb"/>
        <w:spacing w:before="0" w:beforeAutospacing="0" w:after="0" w:afterAutospacing="0" w:line="312" w:lineRule="auto"/>
        <w:ind w:firstLine="284"/>
        <w:jc w:val="both"/>
      </w:pPr>
      <w:r w:rsidRPr="00575BAE">
        <w:rPr>
          <w:vanish/>
        </w:rPr>
        <w:t>“</w:t>
      </w:r>
      <w:r w:rsidR="00654AF5" w:rsidRPr="00575BAE">
        <w:t>Angka mendekati Rp1 triliun itu bukan nominal yang kecil,</w:t>
      </w:r>
      <w:r w:rsidRPr="00575BAE">
        <w:t>”</w:t>
      </w:r>
      <w:r w:rsidR="00654AF5" w:rsidRPr="00575BAE">
        <w:t xml:space="preserve"> kata Achris. Jika saja seluruh anggaran tersebut terserap. Maka akan memberi efek daya ungkit bagi ekonomi dan daya beli masyarakat.</w:t>
      </w:r>
      <w:r w:rsidR="00E05BBD" w:rsidRPr="00575BAE">
        <w:t xml:space="preserve"> </w:t>
      </w:r>
      <w:r w:rsidR="00654AF5" w:rsidRPr="00575BAE">
        <w:t>Memang, Acris belum dapat menggambarkan secara rinci dampaknya. Sebab harus dipastikan kembali, di mana saja alokasi anggaran-anggaran yang tidak terserap itu serta peruntukannya.</w:t>
      </w:r>
    </w:p>
    <w:p w14:paraId="763CB631" w14:textId="2F107A5B" w:rsidR="00654AF5" w:rsidRPr="00575BAE" w:rsidRDefault="00104073" w:rsidP="00575BAE">
      <w:pPr>
        <w:pStyle w:val="NormalWeb"/>
        <w:spacing w:before="0" w:beforeAutospacing="0" w:after="0" w:afterAutospacing="0" w:line="312" w:lineRule="auto"/>
        <w:ind w:firstLine="284"/>
        <w:jc w:val="both"/>
      </w:pPr>
      <w:r w:rsidRPr="00575BAE">
        <w:t>“</w:t>
      </w:r>
      <w:r w:rsidR="00654AF5" w:rsidRPr="00575BAE">
        <w:t xml:space="preserve">Kita harus melakukan analisis dulu. Setelah itu, baru kita memberikan rekomendasi kepada kepala daerah. Termasuk memberikan </w:t>
      </w:r>
      <w:r w:rsidR="00654AF5" w:rsidRPr="00575BAE">
        <w:rPr>
          <w:rStyle w:val="Penekanan"/>
        </w:rPr>
        <w:t>warning</w:t>
      </w:r>
      <w:r w:rsidR="00654AF5" w:rsidRPr="00575BAE">
        <w:t>,</w:t>
      </w:r>
      <w:r w:rsidRPr="00575BAE">
        <w:t>”</w:t>
      </w:r>
      <w:r w:rsidR="00654AF5" w:rsidRPr="00575BAE">
        <w:t xml:space="preserve"> kata Achris dalam diskusi seputar ekonomi dengan media dan Ditjen Perbendaharaan NTB. Hadir juga dalam diskusi itu, Kakanwil Ditjen Perbendaharaan NTB, Syarwan, SE, MM di Kantor Bank Indonesia NTB, Rabu, 30 Januari 2019 kemarin.</w:t>
      </w:r>
    </w:p>
    <w:p w14:paraId="1226623A" w14:textId="77777777" w:rsidR="00654AF5" w:rsidRPr="00575BAE" w:rsidRDefault="00654AF5" w:rsidP="00575BAE">
      <w:pPr>
        <w:pStyle w:val="NormalWeb"/>
        <w:spacing w:before="0" w:beforeAutospacing="0" w:after="0" w:afterAutospacing="0" w:line="312" w:lineRule="auto"/>
        <w:ind w:firstLine="284"/>
        <w:jc w:val="both"/>
      </w:pPr>
      <w:r w:rsidRPr="00575BAE">
        <w:t>Secara umum, perekonomian NTB di tahun 2018 menghadapi berbagai tantangan. Mulai dari menurunnya kinerja ekspor tembaga hingga bencana gempa bumi yang menurunkan aktivitas perekonomian. Hal tersebut berdampak pada pertumbuhan ekonomi NTB di tahun 2018 yang diperkirakan mengalami kontraksi sebesar 6 – 7% (yoy), dengan pertumbuhan ekonomi non-tambang yang melambat pada kisaran 2,5 – 3,5% (yoy).</w:t>
      </w:r>
    </w:p>
    <w:p w14:paraId="6592F840" w14:textId="77777777" w:rsidR="008D03E3" w:rsidRPr="00575BAE" w:rsidRDefault="00654AF5" w:rsidP="00575BAE">
      <w:pPr>
        <w:pStyle w:val="NormalWeb"/>
        <w:spacing w:before="0" w:beforeAutospacing="0" w:after="0" w:afterAutospacing="0" w:line="312" w:lineRule="auto"/>
        <w:ind w:firstLine="284"/>
        <w:jc w:val="both"/>
      </w:pPr>
      <w:r w:rsidRPr="00575BAE">
        <w:lastRenderedPageBreak/>
        <w:t>Melihat kondisi tersebut, untuk mendorong pemulihan ekonomi NTB ke depan, dibutuhkan sinergi yag kuat antara pemangku kepentingan untuk menciptakan perekonomian NTB yang kuat, inklusif, dan berkelanjutan. Sinergi tersebut salah satunya perlu diperkuat pada kebijakan moneter dan fiskal di tingkat regional, yang dalam hal ini diwakili oleh Kantor Perwakilan Bank Indonesia dan Kantor Wilayah Perbendaharaan.</w:t>
      </w:r>
    </w:p>
    <w:p w14:paraId="524A9D65" w14:textId="77777777" w:rsidR="008D03E3" w:rsidRPr="00575BAE" w:rsidRDefault="008D03E3" w:rsidP="00575BAE">
      <w:pPr>
        <w:pStyle w:val="NormalWeb"/>
        <w:spacing w:before="0" w:beforeAutospacing="0" w:after="0" w:afterAutospacing="0" w:line="312" w:lineRule="auto"/>
        <w:ind w:firstLine="284"/>
        <w:jc w:val="both"/>
      </w:pPr>
      <w:r w:rsidRPr="00575BAE">
        <w:t xml:space="preserve">Kanwil Perbedaharaan sebagai instansi di bidang fiskal, memiliki kewenangan dalam mengelola APBD/APBN yang bertujuan untuk mendorong pertumbuhan ekonomi. Belanja pemerintah yang dilakukan secara tepat akan menjadi stimulus untuk mendorong pertumbuhan ekonomi yang sehat dan memperluas lapangan pekerjaan. </w:t>
      </w:r>
    </w:p>
    <w:p w14:paraId="138505FC" w14:textId="77777777" w:rsidR="00654AF5" w:rsidRPr="00575BAE" w:rsidRDefault="00654AF5" w:rsidP="00575BAE">
      <w:pPr>
        <w:pStyle w:val="NormalWeb"/>
        <w:spacing w:before="0" w:beforeAutospacing="0" w:after="0" w:afterAutospacing="0" w:line="312" w:lineRule="auto"/>
        <w:ind w:firstLine="284"/>
        <w:jc w:val="both"/>
      </w:pPr>
      <w:r w:rsidRPr="00575BAE">
        <w:t xml:space="preserve">Di sisi lain, Bank Indonesia sebagai instansi di bidang moneter, bertugas untuk menjaga stabilitas perekonomian agar tidak terjadi </w:t>
      </w:r>
      <w:r w:rsidRPr="00575BAE">
        <w:rPr>
          <w:rStyle w:val="Penekanan"/>
        </w:rPr>
        <w:t>overheating. S</w:t>
      </w:r>
      <w:r w:rsidRPr="00575BAE">
        <w:t xml:space="preserve">alah satunya melalui kebijakan suku bunga. Salah satu indikasi perekonomian yang </w:t>
      </w:r>
      <w:r w:rsidRPr="00575BAE">
        <w:rPr>
          <w:rStyle w:val="Penekanan"/>
        </w:rPr>
        <w:t xml:space="preserve">overheating </w:t>
      </w:r>
      <w:r w:rsidRPr="00575BAE">
        <w:t>adalah tingkat inflasi yang tinggi, sehingga menggerus daya beli masyarakat.</w:t>
      </w:r>
    </w:p>
    <w:p w14:paraId="7143434D" w14:textId="77777777" w:rsidR="00654AF5" w:rsidRPr="00575BAE" w:rsidRDefault="00654AF5" w:rsidP="00575BAE">
      <w:pPr>
        <w:pStyle w:val="NormalWeb"/>
        <w:spacing w:before="0" w:beforeAutospacing="0" w:after="0" w:afterAutospacing="0" w:line="312" w:lineRule="auto"/>
        <w:ind w:firstLine="284"/>
        <w:jc w:val="both"/>
      </w:pPr>
      <w:r w:rsidRPr="00575BAE">
        <w:t>Dengan demikian, Kantor Perwakilan BI Provinsi NTB berperan dalam menjaga tingkat inflasi NTB yang rendah dan stabil, sehingga dapat mendukung pertumbuhan ekonomi NTB dalam jangka panjang.</w:t>
      </w:r>
    </w:p>
    <w:p w14:paraId="3C79C800" w14:textId="77777777" w:rsidR="008D03E3" w:rsidRPr="00575BAE" w:rsidRDefault="00654AF5" w:rsidP="00575BAE">
      <w:pPr>
        <w:pStyle w:val="NormalWeb"/>
        <w:spacing w:before="0" w:beforeAutospacing="0" w:after="0" w:afterAutospacing="0" w:line="312" w:lineRule="auto"/>
        <w:ind w:firstLine="284"/>
        <w:jc w:val="both"/>
      </w:pPr>
      <w:r w:rsidRPr="00575BAE">
        <w:t>Sehubungan dengan hal tersebut, lanjut Achris, Kantor Perwakilan BI Provinsi NTB bersama Kanwil Perbendaharaan Provinsi NTB telah menyepakati untuk memperkuat sinergi dimaksud, yang diawali dengan kegiatan bersama dengan media.</w:t>
      </w:r>
    </w:p>
    <w:p w14:paraId="26FA788D" w14:textId="77777777" w:rsidR="008D03E3" w:rsidRPr="008D03E3" w:rsidRDefault="008D03E3" w:rsidP="00575BAE">
      <w:pPr>
        <w:pStyle w:val="NormalWeb"/>
        <w:spacing w:before="0" w:beforeAutospacing="0" w:after="0" w:afterAutospacing="0" w:line="312" w:lineRule="auto"/>
        <w:ind w:firstLine="284"/>
        <w:jc w:val="both"/>
        <w:rPr>
          <w:sz w:val="22"/>
          <w:szCs w:val="22"/>
        </w:rPr>
      </w:pPr>
      <w:r w:rsidRPr="00575BAE">
        <w:t xml:space="preserve">Ke depan, koordinasi forum moneter – fiskal regional Provinsi NTB akan diperluas, baik dalam penyusunan kajian ekonomi, rekomendasi kebijakan, maupun pelaksanaan seminar dan pelatihan terkait pengembangan ekonomi daerah. </w:t>
      </w:r>
      <w:r w:rsidRPr="00575BAE">
        <w:rPr>
          <w:b/>
        </w:rPr>
        <w:t>(bul)</w:t>
      </w:r>
    </w:p>
    <w:p w14:paraId="71EF76D0" w14:textId="77777777" w:rsidR="001012A5" w:rsidRPr="00A67DFE" w:rsidRDefault="001012A5" w:rsidP="008D03E3">
      <w:pPr>
        <w:spacing w:after="0"/>
        <w:ind w:firstLine="284"/>
        <w:jc w:val="both"/>
        <w:rPr>
          <w:rFonts w:ascii="Times New Roman" w:hAnsi="Times New Roman" w:cs="Times New Roman"/>
          <w:sz w:val="24"/>
          <w:szCs w:val="24"/>
        </w:rPr>
      </w:pPr>
    </w:p>
    <w:p w14:paraId="4DBFE3BB" w14:textId="77777777" w:rsidR="00654AF5" w:rsidRPr="00A67DFE" w:rsidRDefault="00654AF5" w:rsidP="00567A91">
      <w:pPr>
        <w:spacing w:after="0"/>
        <w:jc w:val="both"/>
        <w:rPr>
          <w:rFonts w:ascii="Times New Roman" w:hAnsi="Times New Roman" w:cs="Times New Roman"/>
          <w:b/>
          <w:sz w:val="24"/>
          <w:szCs w:val="24"/>
        </w:rPr>
      </w:pPr>
      <w:r w:rsidRPr="00A67DFE">
        <w:rPr>
          <w:rFonts w:ascii="Times New Roman" w:hAnsi="Times New Roman" w:cs="Times New Roman"/>
          <w:b/>
          <w:sz w:val="24"/>
          <w:szCs w:val="24"/>
        </w:rPr>
        <w:t>Sumber Berita:</w:t>
      </w:r>
    </w:p>
    <w:p w14:paraId="55905E57" w14:textId="77777777" w:rsidR="008D03E3" w:rsidRPr="00A67DFE" w:rsidRDefault="0012500E" w:rsidP="00B80402">
      <w:pPr>
        <w:pStyle w:val="DaftarParagraf"/>
        <w:numPr>
          <w:ilvl w:val="0"/>
          <w:numId w:val="1"/>
        </w:numPr>
        <w:spacing w:after="0"/>
        <w:ind w:left="284" w:hanging="284"/>
        <w:jc w:val="both"/>
        <w:rPr>
          <w:rFonts w:ascii="Times New Roman" w:hAnsi="Times New Roman" w:cs="Times New Roman"/>
          <w:sz w:val="24"/>
          <w:szCs w:val="24"/>
        </w:rPr>
      </w:pPr>
      <w:hyperlink r:id="rId10" w:history="1">
        <w:r w:rsidR="00654AF5" w:rsidRPr="00A67DFE">
          <w:rPr>
            <w:rStyle w:val="Hyperlink"/>
            <w:rFonts w:ascii="Times New Roman" w:hAnsi="Times New Roman" w:cs="Times New Roman"/>
            <w:color w:val="auto"/>
            <w:sz w:val="24"/>
            <w:szCs w:val="24"/>
          </w:rPr>
          <w:t>https://www.suarantb.com/ekonomi.dan.bisnis/2019/01/266789/APBN.2018.Tak.Terserap.Maksimal,Peringatan.Bagi.Kepala.Daerah/</w:t>
        </w:r>
      </w:hyperlink>
    </w:p>
    <w:p w14:paraId="1E800E8B" w14:textId="77777777" w:rsidR="00654AF5" w:rsidRPr="00A67DFE" w:rsidRDefault="0012500E" w:rsidP="00B80402">
      <w:pPr>
        <w:pStyle w:val="DaftarParagraf"/>
        <w:numPr>
          <w:ilvl w:val="0"/>
          <w:numId w:val="1"/>
        </w:numPr>
        <w:spacing w:after="0"/>
        <w:ind w:left="284" w:hanging="284"/>
        <w:jc w:val="both"/>
        <w:rPr>
          <w:rFonts w:ascii="Times New Roman" w:hAnsi="Times New Roman" w:cs="Times New Roman"/>
          <w:sz w:val="24"/>
          <w:szCs w:val="24"/>
        </w:rPr>
      </w:pPr>
      <w:hyperlink r:id="rId11" w:history="1">
        <w:r w:rsidR="00654AF5" w:rsidRPr="00B80402">
          <w:rPr>
            <w:rStyle w:val="Hyperlink"/>
            <w:color w:val="auto"/>
          </w:rPr>
          <w:t>http</w:t>
        </w:r>
        <w:r w:rsidR="00654AF5" w:rsidRPr="00A67DFE">
          <w:rPr>
            <w:rStyle w:val="Hyperlink"/>
            <w:rFonts w:ascii="Times New Roman" w:hAnsi="Times New Roman" w:cs="Times New Roman"/>
            <w:color w:val="auto"/>
            <w:sz w:val="24"/>
            <w:szCs w:val="24"/>
          </w:rPr>
          <w:t>://berita.baca.co.id/29344314?origin=relative&amp;pageId=c6e695b2-6f60-4004-96b9-2e8c1b6c3f90&amp;PageIndex=0</w:t>
        </w:r>
      </w:hyperlink>
    </w:p>
    <w:p w14:paraId="31BAA34B" w14:textId="77777777" w:rsidR="00654AF5" w:rsidRPr="00A67DFE" w:rsidRDefault="00654AF5" w:rsidP="008D03E3">
      <w:pPr>
        <w:spacing w:after="0"/>
        <w:ind w:firstLine="284"/>
        <w:jc w:val="both"/>
        <w:rPr>
          <w:rFonts w:ascii="Times New Roman" w:hAnsi="Times New Roman" w:cs="Times New Roman"/>
          <w:sz w:val="24"/>
          <w:szCs w:val="24"/>
        </w:rPr>
      </w:pPr>
    </w:p>
    <w:p w14:paraId="601741F2" w14:textId="60DDBF6C" w:rsidR="008D03E3" w:rsidRPr="005830A4" w:rsidRDefault="005830A4" w:rsidP="005830A4">
      <w:pPr>
        <w:spacing w:after="0"/>
        <w:jc w:val="both"/>
        <w:rPr>
          <w:rFonts w:ascii="Times New Roman" w:hAnsi="Times New Roman" w:cs="Times New Roman"/>
          <w:sz w:val="24"/>
          <w:szCs w:val="24"/>
        </w:rPr>
      </w:pPr>
      <w:r w:rsidRPr="005830A4">
        <w:rPr>
          <w:rFonts w:ascii="Times New Roman" w:hAnsi="Times New Roman" w:cs="Times New Roman"/>
          <w:b/>
          <w:bCs/>
          <w:sz w:val="24"/>
          <w:szCs w:val="24"/>
        </w:rPr>
        <w:t>Catatan:</w:t>
      </w:r>
    </w:p>
    <w:p w14:paraId="2DF1B450" w14:textId="344F3EDA" w:rsidR="00805739" w:rsidRPr="00A67DFE" w:rsidRDefault="00170FA4" w:rsidP="001C7311">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Sesuai </w:t>
      </w:r>
      <w:r w:rsidR="001D01B4">
        <w:rPr>
          <w:rFonts w:ascii="Times New Roman" w:hAnsi="Times New Roman" w:cs="Times New Roman"/>
          <w:sz w:val="24"/>
          <w:szCs w:val="24"/>
        </w:rPr>
        <w:t xml:space="preserve">Pasal 1 angka 7 </w:t>
      </w:r>
      <w:r w:rsidR="00805739" w:rsidRPr="00A67DFE">
        <w:rPr>
          <w:rFonts w:ascii="Times New Roman" w:hAnsi="Times New Roman" w:cs="Times New Roman"/>
          <w:sz w:val="24"/>
          <w:szCs w:val="24"/>
        </w:rPr>
        <w:t>Undang-Undang Nomor 17 Tahun 2003 tentang Keuangan Negara</w:t>
      </w:r>
      <w:r w:rsidR="00F012C2">
        <w:rPr>
          <w:rFonts w:ascii="Times New Roman" w:hAnsi="Times New Roman" w:cs="Times New Roman"/>
          <w:sz w:val="24"/>
          <w:szCs w:val="24"/>
        </w:rPr>
        <w:t>,</w:t>
      </w:r>
      <w:r w:rsidR="00D77798">
        <w:rPr>
          <w:rFonts w:ascii="Times New Roman" w:hAnsi="Times New Roman" w:cs="Times New Roman"/>
          <w:sz w:val="24"/>
          <w:szCs w:val="24"/>
        </w:rPr>
        <w:t xml:space="preserve"> </w:t>
      </w:r>
      <w:r w:rsidR="00805739" w:rsidRPr="00A67DFE">
        <w:rPr>
          <w:rFonts w:ascii="Times New Roman" w:hAnsi="Times New Roman" w:cs="Times New Roman"/>
          <w:sz w:val="24"/>
          <w:szCs w:val="24"/>
        </w:rPr>
        <w:t>Anggaran Pendapatan dan Belanja Negara</w:t>
      </w:r>
      <w:r w:rsidR="001C7311">
        <w:rPr>
          <w:rFonts w:ascii="Times New Roman" w:hAnsi="Times New Roman" w:cs="Times New Roman"/>
          <w:sz w:val="24"/>
          <w:szCs w:val="24"/>
        </w:rPr>
        <w:t xml:space="preserve"> yang </w:t>
      </w:r>
      <w:r w:rsidR="00805739" w:rsidRPr="00A67DFE">
        <w:rPr>
          <w:rFonts w:ascii="Times New Roman" w:hAnsi="Times New Roman" w:cs="Times New Roman"/>
          <w:sz w:val="24"/>
          <w:szCs w:val="24"/>
        </w:rPr>
        <w:t>selanjutnya disebut APBN, adalah rencana keuangan tahunan pemerintahan negara yang disetujui oleh Dewan Perwakilan Rakyat.</w:t>
      </w:r>
      <w:r w:rsidR="0051595C">
        <w:rPr>
          <w:rFonts w:ascii="Times New Roman" w:hAnsi="Times New Roman" w:cs="Times New Roman"/>
          <w:sz w:val="24"/>
          <w:szCs w:val="24"/>
        </w:rPr>
        <w:t xml:space="preserve"> </w:t>
      </w:r>
      <w:r w:rsidR="00805739" w:rsidRPr="00A67DFE">
        <w:rPr>
          <w:rFonts w:ascii="Times New Roman" w:hAnsi="Times New Roman" w:cs="Times New Roman"/>
          <w:sz w:val="24"/>
          <w:szCs w:val="24"/>
        </w:rPr>
        <w:t>Pasal</w:t>
      </w:r>
      <w:r w:rsidR="00E05BBD" w:rsidRPr="00A67DFE">
        <w:rPr>
          <w:rFonts w:ascii="Times New Roman" w:hAnsi="Times New Roman" w:cs="Times New Roman"/>
          <w:sz w:val="24"/>
          <w:szCs w:val="24"/>
        </w:rPr>
        <w:t xml:space="preserve"> </w:t>
      </w:r>
      <w:r w:rsidR="00805739" w:rsidRPr="00A67DFE">
        <w:rPr>
          <w:rFonts w:ascii="Times New Roman" w:hAnsi="Times New Roman" w:cs="Times New Roman"/>
          <w:sz w:val="24"/>
          <w:szCs w:val="24"/>
        </w:rPr>
        <w:t>3</w:t>
      </w:r>
      <w:r w:rsidR="0051595C">
        <w:rPr>
          <w:rFonts w:ascii="Times New Roman" w:hAnsi="Times New Roman" w:cs="Times New Roman"/>
          <w:sz w:val="24"/>
          <w:szCs w:val="24"/>
        </w:rPr>
        <w:t xml:space="preserve"> ayat (2) </w:t>
      </w:r>
      <w:r w:rsidR="001C7311">
        <w:rPr>
          <w:rFonts w:ascii="Times New Roman" w:hAnsi="Times New Roman" w:cs="Times New Roman"/>
          <w:sz w:val="24"/>
          <w:szCs w:val="24"/>
        </w:rPr>
        <w:t>menyebutkan</w:t>
      </w:r>
      <w:r w:rsidR="0051595C">
        <w:rPr>
          <w:rFonts w:ascii="Times New Roman" w:hAnsi="Times New Roman" w:cs="Times New Roman"/>
          <w:sz w:val="24"/>
          <w:szCs w:val="24"/>
        </w:rPr>
        <w:t xml:space="preserve"> bahwa </w:t>
      </w:r>
      <w:r w:rsidR="00805739" w:rsidRPr="00A67DFE">
        <w:rPr>
          <w:rFonts w:ascii="Times New Roman" w:hAnsi="Times New Roman" w:cs="Times New Roman"/>
          <w:sz w:val="24"/>
          <w:szCs w:val="24"/>
        </w:rPr>
        <w:t>APBN, perubahan APBN, dan pertanggungjawaban pelaksanaan APBN setiap tahun</w:t>
      </w:r>
      <w:r w:rsidR="00941199">
        <w:rPr>
          <w:rFonts w:ascii="Times New Roman" w:hAnsi="Times New Roman" w:cs="Times New Roman"/>
          <w:sz w:val="24"/>
          <w:szCs w:val="24"/>
        </w:rPr>
        <w:t xml:space="preserve"> </w:t>
      </w:r>
      <w:r w:rsidR="00805739" w:rsidRPr="00A67DFE">
        <w:rPr>
          <w:rFonts w:ascii="Times New Roman" w:hAnsi="Times New Roman" w:cs="Times New Roman"/>
          <w:sz w:val="24"/>
          <w:szCs w:val="24"/>
        </w:rPr>
        <w:t>ditetapkan dengan undang-undang.</w:t>
      </w:r>
      <w:r w:rsidR="001A2BD7">
        <w:rPr>
          <w:rFonts w:ascii="Times New Roman" w:hAnsi="Times New Roman" w:cs="Times New Roman"/>
          <w:sz w:val="24"/>
          <w:szCs w:val="24"/>
        </w:rPr>
        <w:t xml:space="preserve"> </w:t>
      </w:r>
      <w:r w:rsidR="0022100D">
        <w:rPr>
          <w:rFonts w:ascii="Times New Roman" w:hAnsi="Times New Roman" w:cs="Times New Roman"/>
          <w:sz w:val="24"/>
          <w:szCs w:val="24"/>
        </w:rPr>
        <w:t>Selanjutnya</w:t>
      </w:r>
      <w:r w:rsidR="00622FBA">
        <w:rPr>
          <w:rFonts w:ascii="Times New Roman" w:hAnsi="Times New Roman" w:cs="Times New Roman"/>
          <w:sz w:val="24"/>
          <w:szCs w:val="24"/>
        </w:rPr>
        <w:t xml:space="preserve"> </w:t>
      </w:r>
      <w:r w:rsidR="0022100D">
        <w:rPr>
          <w:rFonts w:ascii="Times New Roman" w:hAnsi="Times New Roman" w:cs="Times New Roman"/>
          <w:sz w:val="24"/>
          <w:szCs w:val="24"/>
        </w:rPr>
        <w:t>dalam</w:t>
      </w:r>
      <w:r w:rsidR="00622FBA">
        <w:rPr>
          <w:rFonts w:ascii="Times New Roman" w:hAnsi="Times New Roman" w:cs="Times New Roman"/>
          <w:sz w:val="24"/>
          <w:szCs w:val="24"/>
        </w:rPr>
        <w:t xml:space="preserve"> ayat </w:t>
      </w:r>
      <w:r w:rsidR="00805739" w:rsidRPr="00A67DFE">
        <w:rPr>
          <w:rFonts w:ascii="Times New Roman" w:hAnsi="Times New Roman" w:cs="Times New Roman"/>
          <w:sz w:val="24"/>
          <w:szCs w:val="24"/>
        </w:rPr>
        <w:t>(4)</w:t>
      </w:r>
      <w:r w:rsidR="00622FBA">
        <w:rPr>
          <w:rFonts w:ascii="Times New Roman" w:hAnsi="Times New Roman" w:cs="Times New Roman"/>
          <w:sz w:val="24"/>
          <w:szCs w:val="24"/>
        </w:rPr>
        <w:t xml:space="preserve"> dinyatakan bahwa</w:t>
      </w:r>
      <w:r w:rsidR="00805739" w:rsidRPr="00A67DFE">
        <w:rPr>
          <w:rFonts w:ascii="Times New Roman" w:hAnsi="Times New Roman" w:cs="Times New Roman"/>
          <w:sz w:val="24"/>
          <w:szCs w:val="24"/>
        </w:rPr>
        <w:t xml:space="preserve"> APBN/APBD mempunyai fungsi otorisasi, perencanaan, pengawasan, alokasi, distribusi,</w:t>
      </w:r>
      <w:r w:rsidR="00622FBA">
        <w:rPr>
          <w:rFonts w:ascii="Times New Roman" w:hAnsi="Times New Roman" w:cs="Times New Roman"/>
          <w:sz w:val="24"/>
          <w:szCs w:val="24"/>
        </w:rPr>
        <w:t xml:space="preserve"> </w:t>
      </w:r>
      <w:r w:rsidR="00805739" w:rsidRPr="00A67DFE">
        <w:rPr>
          <w:rFonts w:ascii="Times New Roman" w:hAnsi="Times New Roman" w:cs="Times New Roman"/>
          <w:sz w:val="24"/>
          <w:szCs w:val="24"/>
        </w:rPr>
        <w:t>dan stabilisasi</w:t>
      </w:r>
      <w:r w:rsidR="00622FBA">
        <w:rPr>
          <w:rFonts w:ascii="Times New Roman" w:hAnsi="Times New Roman" w:cs="Times New Roman"/>
          <w:sz w:val="24"/>
          <w:szCs w:val="24"/>
        </w:rPr>
        <w:t xml:space="preserve">, serta ayat </w:t>
      </w:r>
      <w:r w:rsidR="00805739" w:rsidRPr="00A67DFE">
        <w:rPr>
          <w:rFonts w:ascii="Times New Roman" w:hAnsi="Times New Roman" w:cs="Times New Roman"/>
          <w:sz w:val="24"/>
          <w:szCs w:val="24"/>
        </w:rPr>
        <w:t xml:space="preserve">(5) </w:t>
      </w:r>
      <w:r w:rsidR="00622FBA">
        <w:rPr>
          <w:rFonts w:ascii="Times New Roman" w:hAnsi="Times New Roman" w:cs="Times New Roman"/>
          <w:sz w:val="24"/>
          <w:szCs w:val="24"/>
        </w:rPr>
        <w:t xml:space="preserve">menyatakan bahwa </w:t>
      </w:r>
      <w:r w:rsidR="00622FBA" w:rsidRPr="00A67DFE">
        <w:rPr>
          <w:rFonts w:ascii="Times New Roman" w:hAnsi="Times New Roman" w:cs="Times New Roman"/>
          <w:sz w:val="24"/>
          <w:szCs w:val="24"/>
        </w:rPr>
        <w:t xml:space="preserve">semua </w:t>
      </w:r>
      <w:r w:rsidR="00805739" w:rsidRPr="00A67DFE">
        <w:rPr>
          <w:rFonts w:ascii="Times New Roman" w:hAnsi="Times New Roman" w:cs="Times New Roman"/>
          <w:sz w:val="24"/>
          <w:szCs w:val="24"/>
        </w:rPr>
        <w:t>penerimaan yang menjadi hak dan pengeluaran yang menjadi kewajiban negara</w:t>
      </w:r>
      <w:r w:rsidR="00934352">
        <w:rPr>
          <w:rFonts w:ascii="Times New Roman" w:hAnsi="Times New Roman" w:cs="Times New Roman"/>
          <w:sz w:val="24"/>
          <w:szCs w:val="24"/>
        </w:rPr>
        <w:t xml:space="preserve"> </w:t>
      </w:r>
      <w:r w:rsidR="00805739" w:rsidRPr="00A67DFE">
        <w:rPr>
          <w:rFonts w:ascii="Times New Roman" w:hAnsi="Times New Roman" w:cs="Times New Roman"/>
          <w:sz w:val="24"/>
          <w:szCs w:val="24"/>
        </w:rPr>
        <w:t>dalam tahun anggaran yang bersangkutan harus dimasukkan dalam APBN.</w:t>
      </w:r>
      <w:r w:rsidR="00E05BBD" w:rsidRPr="00A67DFE">
        <w:rPr>
          <w:rFonts w:ascii="Times New Roman" w:hAnsi="Times New Roman" w:cs="Times New Roman"/>
          <w:sz w:val="24"/>
          <w:szCs w:val="24"/>
        </w:rPr>
        <w:t xml:space="preserve"> </w:t>
      </w:r>
    </w:p>
    <w:p w14:paraId="0475009C" w14:textId="488BA2A6" w:rsidR="00CE01CD" w:rsidRPr="00A67DFE" w:rsidRDefault="00DE6B5B" w:rsidP="00A143B2">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Dalam penjelasan umum mengenai </w:t>
      </w:r>
      <w:r w:rsidR="00CE01CD" w:rsidRPr="00A67DFE">
        <w:rPr>
          <w:rFonts w:ascii="Times New Roman" w:hAnsi="Times New Roman" w:cs="Times New Roman"/>
          <w:sz w:val="24"/>
          <w:szCs w:val="24"/>
        </w:rPr>
        <w:t>Penyusunan dan Penetapan APBN dan APBD</w:t>
      </w:r>
      <w:r>
        <w:rPr>
          <w:rFonts w:ascii="Times New Roman" w:hAnsi="Times New Roman" w:cs="Times New Roman"/>
          <w:sz w:val="24"/>
          <w:szCs w:val="24"/>
        </w:rPr>
        <w:t xml:space="preserve"> dinyatakan bahwa m</w:t>
      </w:r>
      <w:r w:rsidR="00A143B2" w:rsidRPr="00A67DFE">
        <w:rPr>
          <w:rFonts w:ascii="Times New Roman" w:hAnsi="Times New Roman" w:cs="Times New Roman"/>
          <w:sz w:val="24"/>
          <w:szCs w:val="24"/>
        </w:rPr>
        <w:t>asalah yang tidak kalah pentingnya dalam upaya memperbaiki proses</w:t>
      </w:r>
      <w:r w:rsidR="005C730E">
        <w:rPr>
          <w:rFonts w:ascii="Times New Roman" w:hAnsi="Times New Roman" w:cs="Times New Roman"/>
          <w:sz w:val="24"/>
          <w:szCs w:val="24"/>
        </w:rPr>
        <w:t xml:space="preserve"> </w:t>
      </w:r>
      <w:r w:rsidR="00A143B2" w:rsidRPr="00A67DFE">
        <w:rPr>
          <w:rFonts w:ascii="Times New Roman" w:hAnsi="Times New Roman" w:cs="Times New Roman"/>
          <w:sz w:val="24"/>
          <w:szCs w:val="24"/>
        </w:rPr>
        <w:lastRenderedPageBreak/>
        <w:t>penganggaran di sektor publik adalah penerapan anggaran berbasis prestasi kerja.</w:t>
      </w:r>
      <w:r w:rsidR="005C730E">
        <w:rPr>
          <w:rFonts w:ascii="Times New Roman" w:hAnsi="Times New Roman" w:cs="Times New Roman"/>
          <w:sz w:val="24"/>
          <w:szCs w:val="24"/>
        </w:rPr>
        <w:t xml:space="preserve"> </w:t>
      </w:r>
      <w:r w:rsidR="00A143B2" w:rsidRPr="00A67DFE">
        <w:rPr>
          <w:rFonts w:ascii="Times New Roman" w:hAnsi="Times New Roman" w:cs="Times New Roman"/>
          <w:sz w:val="24"/>
          <w:szCs w:val="24"/>
        </w:rPr>
        <w:t>Mengingat bahwa sistem anggaran berbasis prestasi kerja/hasil memerlukan kriteria</w:t>
      </w:r>
      <w:r w:rsidR="005C730E">
        <w:rPr>
          <w:rFonts w:ascii="Times New Roman" w:hAnsi="Times New Roman" w:cs="Times New Roman"/>
          <w:sz w:val="24"/>
          <w:szCs w:val="24"/>
        </w:rPr>
        <w:t xml:space="preserve"> </w:t>
      </w:r>
      <w:r w:rsidR="00A143B2" w:rsidRPr="00A67DFE">
        <w:rPr>
          <w:rFonts w:ascii="Times New Roman" w:hAnsi="Times New Roman" w:cs="Times New Roman"/>
          <w:sz w:val="24"/>
          <w:szCs w:val="24"/>
        </w:rPr>
        <w:t>pengendalian kinerja dan evaluasi serta untuk menghindari duplikasi dalam penyusunan</w:t>
      </w:r>
      <w:r w:rsidR="005C730E">
        <w:rPr>
          <w:rFonts w:ascii="Times New Roman" w:hAnsi="Times New Roman" w:cs="Times New Roman"/>
          <w:sz w:val="24"/>
          <w:szCs w:val="24"/>
        </w:rPr>
        <w:t xml:space="preserve"> </w:t>
      </w:r>
      <w:r w:rsidR="00A143B2" w:rsidRPr="00A67DFE">
        <w:rPr>
          <w:rFonts w:ascii="Times New Roman" w:hAnsi="Times New Roman" w:cs="Times New Roman"/>
          <w:sz w:val="24"/>
          <w:szCs w:val="24"/>
        </w:rPr>
        <w:t>rencana kerja dan anggaran kementerian</w:t>
      </w:r>
      <w:r w:rsidR="00E05BBD" w:rsidRPr="00A67DFE">
        <w:rPr>
          <w:rFonts w:ascii="Times New Roman" w:hAnsi="Times New Roman" w:cs="Times New Roman"/>
          <w:sz w:val="24"/>
          <w:szCs w:val="24"/>
        </w:rPr>
        <w:t xml:space="preserve"> </w:t>
      </w:r>
      <w:r w:rsidR="00A143B2" w:rsidRPr="00A67DFE">
        <w:rPr>
          <w:rFonts w:ascii="Times New Roman" w:hAnsi="Times New Roman" w:cs="Times New Roman"/>
          <w:sz w:val="24"/>
          <w:szCs w:val="24"/>
        </w:rPr>
        <w:t>negara/lembaga/perangkat daerah,</w:t>
      </w:r>
      <w:r w:rsidR="00E05BBD" w:rsidRPr="00A67DFE">
        <w:rPr>
          <w:rFonts w:ascii="Times New Roman" w:hAnsi="Times New Roman" w:cs="Times New Roman"/>
          <w:sz w:val="24"/>
          <w:szCs w:val="24"/>
        </w:rPr>
        <w:t xml:space="preserve"> </w:t>
      </w:r>
      <w:r w:rsidR="00A143B2" w:rsidRPr="00A67DFE">
        <w:rPr>
          <w:rFonts w:ascii="Times New Roman" w:hAnsi="Times New Roman" w:cs="Times New Roman"/>
          <w:sz w:val="24"/>
          <w:szCs w:val="24"/>
        </w:rPr>
        <w:t>perlu dilakukan</w:t>
      </w:r>
      <w:r w:rsidR="00E05BBD" w:rsidRPr="00A67DFE">
        <w:rPr>
          <w:rFonts w:ascii="Times New Roman" w:hAnsi="Times New Roman" w:cs="Times New Roman"/>
          <w:sz w:val="24"/>
          <w:szCs w:val="24"/>
        </w:rPr>
        <w:t xml:space="preserve"> </w:t>
      </w:r>
      <w:r w:rsidR="00A143B2" w:rsidRPr="00A67DFE">
        <w:rPr>
          <w:rFonts w:ascii="Times New Roman" w:hAnsi="Times New Roman" w:cs="Times New Roman"/>
          <w:sz w:val="24"/>
          <w:szCs w:val="24"/>
        </w:rPr>
        <w:t>penyatuan sistem akuntabilitas kinerja dalam sistem penganggaran dengan memperkenalkan sistem penyusunan rencana kerja dan anggaran kementerian negara/lembaga/perangkat daerah. Dengan penyusunan rencana kerja dan anggaran</w:t>
      </w:r>
      <w:r w:rsidR="005C730E">
        <w:rPr>
          <w:rFonts w:ascii="Times New Roman" w:hAnsi="Times New Roman" w:cs="Times New Roman"/>
          <w:sz w:val="24"/>
          <w:szCs w:val="24"/>
        </w:rPr>
        <w:t xml:space="preserve"> </w:t>
      </w:r>
      <w:r w:rsidR="00A143B2" w:rsidRPr="00A67DFE">
        <w:rPr>
          <w:rFonts w:ascii="Times New Roman" w:hAnsi="Times New Roman" w:cs="Times New Roman"/>
          <w:sz w:val="24"/>
          <w:szCs w:val="24"/>
        </w:rPr>
        <w:t>kementerian/lembaga/perangkat daerah tersebut dapat terpenuhi sekaligus kebutuhan</w:t>
      </w:r>
      <w:r w:rsidR="005C730E">
        <w:rPr>
          <w:rFonts w:ascii="Times New Roman" w:hAnsi="Times New Roman" w:cs="Times New Roman"/>
          <w:sz w:val="24"/>
          <w:szCs w:val="24"/>
        </w:rPr>
        <w:t xml:space="preserve"> </w:t>
      </w:r>
      <w:r w:rsidR="00A143B2" w:rsidRPr="00A67DFE">
        <w:rPr>
          <w:rFonts w:ascii="Times New Roman" w:hAnsi="Times New Roman" w:cs="Times New Roman"/>
          <w:sz w:val="24"/>
          <w:szCs w:val="24"/>
        </w:rPr>
        <w:t>akan anggaran berbasis prestasi kerja dan pengukuran akuntabilitas kinerja</w:t>
      </w:r>
      <w:r w:rsidR="005C730E">
        <w:rPr>
          <w:rFonts w:ascii="Times New Roman" w:hAnsi="Times New Roman" w:cs="Times New Roman"/>
          <w:sz w:val="24"/>
          <w:szCs w:val="24"/>
        </w:rPr>
        <w:t xml:space="preserve"> </w:t>
      </w:r>
      <w:r w:rsidR="00A143B2" w:rsidRPr="00A67DFE">
        <w:rPr>
          <w:rFonts w:ascii="Times New Roman" w:hAnsi="Times New Roman" w:cs="Times New Roman"/>
          <w:sz w:val="24"/>
          <w:szCs w:val="24"/>
        </w:rPr>
        <w:t>kementerian/lembaga/perangkat daerah yang bersangkutan.</w:t>
      </w:r>
    </w:p>
    <w:p w14:paraId="5E203C09" w14:textId="77777777" w:rsidR="00A9094B" w:rsidRDefault="00A9094B" w:rsidP="00DE6B5B">
      <w:pPr>
        <w:spacing w:after="0"/>
        <w:jc w:val="both"/>
        <w:rPr>
          <w:rFonts w:ascii="Times New Roman" w:hAnsi="Times New Roman" w:cs="Times New Roman"/>
          <w:b/>
          <w:bCs/>
          <w:sz w:val="24"/>
          <w:szCs w:val="24"/>
        </w:rPr>
      </w:pPr>
    </w:p>
    <w:p w14:paraId="47C15C05" w14:textId="33D28B22" w:rsidR="00AC1EB4" w:rsidRPr="004C6BB5" w:rsidRDefault="004C6BB5" w:rsidP="00DE6B5B">
      <w:pPr>
        <w:spacing w:after="0"/>
        <w:jc w:val="both"/>
        <w:rPr>
          <w:rFonts w:ascii="Times New Roman" w:hAnsi="Times New Roman" w:cs="Times New Roman"/>
          <w:b/>
          <w:bCs/>
          <w:sz w:val="24"/>
          <w:szCs w:val="24"/>
        </w:rPr>
      </w:pPr>
      <w:r w:rsidRPr="004C6BB5">
        <w:rPr>
          <w:rFonts w:ascii="Times New Roman" w:hAnsi="Times New Roman" w:cs="Times New Roman"/>
          <w:b/>
          <w:bCs/>
          <w:sz w:val="24"/>
          <w:szCs w:val="24"/>
          <w:lang w:val="en-ID"/>
        </w:rPr>
        <w:t>Endnote/Catatan Akhir:</w:t>
      </w:r>
    </w:p>
    <w:sectPr w:rsidR="00AC1EB4" w:rsidRPr="004C6BB5" w:rsidSect="00714221">
      <w:footerReference w:type="default" r:id="rId12"/>
      <w:endnotePr>
        <w:numFmt w:val="decimal"/>
      </w:endnotePr>
      <w:pgSz w:w="11906" w:h="16838" w:code="9"/>
      <w:pgMar w:top="1701" w:right="1701" w:bottom="1701" w:left="170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AC600" w14:textId="77777777" w:rsidR="005944F6" w:rsidRDefault="005944F6" w:rsidP="00900CFD">
      <w:pPr>
        <w:spacing w:after="0" w:line="240" w:lineRule="auto"/>
      </w:pPr>
      <w:r>
        <w:separator/>
      </w:r>
    </w:p>
  </w:endnote>
  <w:endnote w:type="continuationSeparator" w:id="0">
    <w:p w14:paraId="78DCD895" w14:textId="77777777" w:rsidR="005944F6" w:rsidRDefault="005944F6" w:rsidP="00900CFD">
      <w:pPr>
        <w:spacing w:after="0" w:line="240" w:lineRule="auto"/>
      </w:pPr>
      <w:r>
        <w:continuationSeparator/>
      </w:r>
    </w:p>
  </w:endnote>
  <w:endnote w:id="1">
    <w:p w14:paraId="50BC28DA" w14:textId="7CC63B12" w:rsidR="009D47E9" w:rsidRPr="009D47E9" w:rsidRDefault="009D47E9" w:rsidP="00093D7E">
      <w:pPr>
        <w:pStyle w:val="TeksCatatanAkhir"/>
        <w:jc w:val="both"/>
        <w:rPr>
          <w:rFonts w:ascii="Times New Roman" w:hAnsi="Times New Roman" w:cs="Times New Roman"/>
        </w:rPr>
      </w:pPr>
      <w:r w:rsidRPr="009D47E9">
        <w:rPr>
          <w:rStyle w:val="ReferensiCatatanAkhir"/>
          <w:rFonts w:ascii="Times New Roman" w:hAnsi="Times New Roman" w:cs="Times New Roman"/>
        </w:rPr>
        <w:endnoteRef/>
      </w:r>
      <w:r w:rsidRPr="009D47E9">
        <w:rPr>
          <w:rFonts w:ascii="Times New Roman" w:hAnsi="Times New Roman" w:cs="Times New Roman"/>
        </w:rPr>
        <w:t xml:space="preserve"> </w:t>
      </w:r>
      <w:r w:rsidRPr="009D47E9">
        <w:rPr>
          <w:rFonts w:ascii="Times New Roman" w:hAnsi="Times New Roman" w:cs="Times New Roman"/>
          <w:b/>
          <w:bCs/>
        </w:rPr>
        <w:t>anggaran</w:t>
      </w:r>
      <w:r w:rsidRPr="009D47E9">
        <w:rPr>
          <w:rFonts w:ascii="Times New Roman" w:hAnsi="Times New Roman" w:cs="Times New Roman"/>
        </w:rPr>
        <w:t>, pedoman tindakan yang akan dilaksanakan pemerintah meliputi rencana pendapatan, belanja, transfer, dan pembiayaan yang diukur dalam satuan rupiah, yang disusun menurut klasifikasi tertentu secara sistematis untuk satu periode.</w:t>
      </w:r>
    </w:p>
  </w:endnote>
  <w:endnote w:id="2">
    <w:p w14:paraId="22F241DC" w14:textId="3127C17C" w:rsidR="004C6BB5" w:rsidRPr="00093D7E" w:rsidRDefault="004C6BB5" w:rsidP="00093D7E">
      <w:pPr>
        <w:pStyle w:val="TeksCatatanAkhir"/>
        <w:jc w:val="both"/>
        <w:rPr>
          <w:rFonts w:ascii="Times New Roman" w:hAnsi="Times New Roman" w:cs="Times New Roman"/>
        </w:rPr>
      </w:pPr>
      <w:r w:rsidRPr="00093D7E">
        <w:rPr>
          <w:rStyle w:val="ReferensiCatatanAkhir"/>
          <w:rFonts w:ascii="Times New Roman" w:hAnsi="Times New Roman" w:cs="Times New Roman"/>
        </w:rPr>
        <w:endnoteRef/>
      </w:r>
      <w:r w:rsidRPr="00093D7E">
        <w:rPr>
          <w:rFonts w:ascii="Times New Roman" w:hAnsi="Times New Roman" w:cs="Times New Roman"/>
        </w:rPr>
        <w:t xml:space="preserve"> </w:t>
      </w:r>
      <w:r w:rsidRPr="00093D7E">
        <w:rPr>
          <w:rFonts w:ascii="Times New Roman" w:hAnsi="Times New Roman" w:cs="Times New Roman"/>
          <w:b/>
          <w:bCs/>
        </w:rPr>
        <w:t xml:space="preserve">satuan kerja, </w:t>
      </w:r>
      <w:r w:rsidRPr="00093D7E">
        <w:rPr>
          <w:rFonts w:ascii="Times New Roman" w:hAnsi="Times New Roman" w:cs="Times New Roman"/>
          <w:shd w:val="clear" w:color="auto" w:fill="FBFCFD"/>
        </w:rPr>
        <w:t>kuasa pengguna anggaran/pengguna barang yang merupakan bagian dari suatu unit organisasi pada kementerian negara/lembaga yang melaksanakan satu atau beberapa kegiatan dari suatu program</w:t>
      </w:r>
      <w:r w:rsidR="00093D7E">
        <w:rPr>
          <w:rFonts w:ascii="Times New Roman" w:hAnsi="Times New Roman" w:cs="Times New Roman"/>
          <w:shd w:val="clear" w:color="auto" w:fill="FBFCFD"/>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1698C" w14:textId="77777777" w:rsidR="00E16DAE" w:rsidRPr="00A70875" w:rsidRDefault="00E16DAE" w:rsidP="00900CFD">
    <w:pPr>
      <w:pStyle w:val="Footer"/>
      <w:pBdr>
        <w:top w:val="thinThickSmallGap" w:sz="24" w:space="1" w:color="622423" w:themeColor="accent2" w:themeShade="7F"/>
      </w:pBdr>
      <w:rPr>
        <w:rFonts w:ascii="Calibri Light" w:eastAsiaTheme="majorEastAsia" w:hAnsi="Calibri Light" w:cs="Calibri Light"/>
      </w:rPr>
    </w:pPr>
    <w:r w:rsidRPr="00A70875">
      <w:rPr>
        <w:rFonts w:ascii="Calibri Light" w:eastAsiaTheme="majorEastAsia" w:hAnsi="Calibri Light" w:cs="Calibri Light"/>
      </w:rPr>
      <w:t>BPK RI Perwakilan Provinsi Nusa Tenggara Barat</w:t>
    </w:r>
    <w:r w:rsidRPr="00A70875">
      <w:rPr>
        <w:rFonts w:ascii="Calibri Light" w:eastAsiaTheme="majorEastAsia" w:hAnsi="Calibri Light" w:cs="Calibri Light"/>
      </w:rPr>
      <w:ptab w:relativeTo="margin" w:alignment="right" w:leader="none"/>
    </w:r>
    <w:r w:rsidRPr="00A70875">
      <w:rPr>
        <w:rFonts w:ascii="Calibri Light" w:eastAsiaTheme="majorEastAsia" w:hAnsi="Calibri Light" w:cs="Calibri Light"/>
      </w:rPr>
      <w:t xml:space="preserve"> Halaman </w:t>
    </w:r>
    <w:r w:rsidRPr="00A70875">
      <w:rPr>
        <w:rFonts w:ascii="Calibri Light" w:eastAsiaTheme="minorEastAsia" w:hAnsi="Calibri Light" w:cs="Calibri Light"/>
      </w:rPr>
      <w:fldChar w:fldCharType="begin"/>
    </w:r>
    <w:r w:rsidRPr="00A70875">
      <w:rPr>
        <w:rFonts w:ascii="Calibri Light" w:hAnsi="Calibri Light" w:cs="Calibri Light"/>
      </w:rPr>
      <w:instrText xml:space="preserve"> PAGE   \* MERGEFORMAT </w:instrText>
    </w:r>
    <w:r w:rsidRPr="00A70875">
      <w:rPr>
        <w:rFonts w:ascii="Calibri Light" w:eastAsiaTheme="minorEastAsia" w:hAnsi="Calibri Light" w:cs="Calibri Light"/>
      </w:rPr>
      <w:fldChar w:fldCharType="separate"/>
    </w:r>
    <w:r>
      <w:rPr>
        <w:rFonts w:ascii="Calibri Light" w:eastAsiaTheme="minorEastAsia" w:hAnsi="Calibri Light" w:cs="Calibri Light"/>
      </w:rPr>
      <w:t>1</w:t>
    </w:r>
    <w:r w:rsidRPr="00A70875">
      <w:rPr>
        <w:rFonts w:ascii="Calibri Light" w:eastAsiaTheme="majorEastAsia" w:hAnsi="Calibri Light" w:cs="Calibri Light"/>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E47ED" w14:textId="77777777" w:rsidR="005944F6" w:rsidRDefault="005944F6" w:rsidP="00900CFD">
      <w:pPr>
        <w:spacing w:after="0" w:line="240" w:lineRule="auto"/>
      </w:pPr>
      <w:r>
        <w:separator/>
      </w:r>
    </w:p>
  </w:footnote>
  <w:footnote w:type="continuationSeparator" w:id="0">
    <w:p w14:paraId="7E6B298A" w14:textId="77777777" w:rsidR="005944F6" w:rsidRDefault="005944F6" w:rsidP="00900C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533DF"/>
    <w:multiLevelType w:val="hybridMultilevel"/>
    <w:tmpl w:val="05B6668C"/>
    <w:lvl w:ilvl="0" w:tplc="B3D47AE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AF5"/>
    <w:rsid w:val="000533E1"/>
    <w:rsid w:val="00093D7E"/>
    <w:rsid w:val="001012A5"/>
    <w:rsid w:val="00104073"/>
    <w:rsid w:val="0012500E"/>
    <w:rsid w:val="00132877"/>
    <w:rsid w:val="00170FA4"/>
    <w:rsid w:val="001750C1"/>
    <w:rsid w:val="001A2BD7"/>
    <w:rsid w:val="001A5759"/>
    <w:rsid w:val="001C7311"/>
    <w:rsid w:val="001D01B4"/>
    <w:rsid w:val="0022100D"/>
    <w:rsid w:val="00281DE6"/>
    <w:rsid w:val="00376D37"/>
    <w:rsid w:val="00407433"/>
    <w:rsid w:val="004B78F1"/>
    <w:rsid w:val="004C6BB5"/>
    <w:rsid w:val="0051595C"/>
    <w:rsid w:val="00567A91"/>
    <w:rsid w:val="00575BAE"/>
    <w:rsid w:val="005830A4"/>
    <w:rsid w:val="005944F6"/>
    <w:rsid w:val="005C730E"/>
    <w:rsid w:val="005E30A1"/>
    <w:rsid w:val="00622FBA"/>
    <w:rsid w:val="00654AF5"/>
    <w:rsid w:val="00674DC4"/>
    <w:rsid w:val="00693CAB"/>
    <w:rsid w:val="00714221"/>
    <w:rsid w:val="00745EDC"/>
    <w:rsid w:val="00791FC0"/>
    <w:rsid w:val="007954C0"/>
    <w:rsid w:val="00805739"/>
    <w:rsid w:val="008455F1"/>
    <w:rsid w:val="00861971"/>
    <w:rsid w:val="008D03E3"/>
    <w:rsid w:val="008D2FA7"/>
    <w:rsid w:val="008E6610"/>
    <w:rsid w:val="00900CFD"/>
    <w:rsid w:val="00926BEC"/>
    <w:rsid w:val="00934352"/>
    <w:rsid w:val="00941199"/>
    <w:rsid w:val="0095424D"/>
    <w:rsid w:val="009D47E9"/>
    <w:rsid w:val="00A143B2"/>
    <w:rsid w:val="00A67DFE"/>
    <w:rsid w:val="00A9094B"/>
    <w:rsid w:val="00AC1EB4"/>
    <w:rsid w:val="00AD66CC"/>
    <w:rsid w:val="00B670A6"/>
    <w:rsid w:val="00B80402"/>
    <w:rsid w:val="00CB3723"/>
    <w:rsid w:val="00CE01CD"/>
    <w:rsid w:val="00D77798"/>
    <w:rsid w:val="00DE6B5B"/>
    <w:rsid w:val="00E05BBD"/>
    <w:rsid w:val="00E16DAE"/>
    <w:rsid w:val="00F012C2"/>
    <w:rsid w:val="00F8096F"/>
    <w:rsid w:val="00FC5EC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217DC"/>
  <w15:docId w15:val="{C05864E7-D746-4438-96D1-9A86A3A5B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2A5"/>
  </w:style>
  <w:style w:type="paragraph" w:styleId="Judul1">
    <w:name w:val="heading 1"/>
    <w:basedOn w:val="Normal"/>
    <w:link w:val="Judul1KAR"/>
    <w:uiPriority w:val="9"/>
    <w:qFormat/>
    <w:rsid w:val="00654A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654AF5"/>
    <w:rPr>
      <w:rFonts w:ascii="Times New Roman" w:eastAsia="Times New Roman" w:hAnsi="Times New Roman" w:cs="Times New Roman"/>
      <w:b/>
      <w:bCs/>
      <w:kern w:val="36"/>
      <w:sz w:val="48"/>
      <w:szCs w:val="48"/>
      <w:lang w:eastAsia="id-ID"/>
    </w:rPr>
  </w:style>
  <w:style w:type="paragraph" w:styleId="NormalWeb">
    <w:name w:val="Normal (Web)"/>
    <w:basedOn w:val="Normal"/>
    <w:uiPriority w:val="99"/>
    <w:unhideWhenUsed/>
    <w:rsid w:val="00654AF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Kuat">
    <w:name w:val="Strong"/>
    <w:basedOn w:val="FontParagrafDefault"/>
    <w:uiPriority w:val="22"/>
    <w:qFormat/>
    <w:rsid w:val="00654AF5"/>
    <w:rPr>
      <w:b/>
      <w:bCs/>
    </w:rPr>
  </w:style>
  <w:style w:type="character" w:styleId="Penekanan">
    <w:name w:val="Emphasis"/>
    <w:basedOn w:val="FontParagrafDefault"/>
    <w:uiPriority w:val="20"/>
    <w:qFormat/>
    <w:rsid w:val="00654AF5"/>
    <w:rPr>
      <w:i/>
      <w:iCs/>
    </w:rPr>
  </w:style>
  <w:style w:type="character" w:styleId="Hyperlink">
    <w:name w:val="Hyperlink"/>
    <w:basedOn w:val="FontParagrafDefault"/>
    <w:uiPriority w:val="99"/>
    <w:unhideWhenUsed/>
    <w:rsid w:val="00654AF5"/>
    <w:rPr>
      <w:color w:val="0000FF" w:themeColor="hyperlink"/>
      <w:u w:val="single"/>
    </w:rPr>
  </w:style>
  <w:style w:type="paragraph" w:styleId="DaftarParagraf">
    <w:name w:val="List Paragraph"/>
    <w:basedOn w:val="Normal"/>
    <w:uiPriority w:val="34"/>
    <w:qFormat/>
    <w:rsid w:val="008D03E3"/>
    <w:pPr>
      <w:ind w:left="720"/>
      <w:contextualSpacing/>
    </w:pPr>
  </w:style>
  <w:style w:type="paragraph" w:styleId="Header">
    <w:name w:val="header"/>
    <w:basedOn w:val="Normal"/>
    <w:link w:val="HeaderKAR"/>
    <w:uiPriority w:val="99"/>
    <w:unhideWhenUsed/>
    <w:rsid w:val="00900CFD"/>
    <w:pPr>
      <w:tabs>
        <w:tab w:val="center" w:pos="4513"/>
        <w:tab w:val="right" w:pos="9026"/>
      </w:tabs>
      <w:spacing w:after="0" w:line="240" w:lineRule="auto"/>
    </w:pPr>
  </w:style>
  <w:style w:type="character" w:customStyle="1" w:styleId="HeaderKAR">
    <w:name w:val="Header KAR"/>
    <w:basedOn w:val="FontParagrafDefault"/>
    <w:link w:val="Header"/>
    <w:uiPriority w:val="99"/>
    <w:rsid w:val="00900CFD"/>
  </w:style>
  <w:style w:type="paragraph" w:styleId="Footer">
    <w:name w:val="footer"/>
    <w:basedOn w:val="Normal"/>
    <w:link w:val="FooterKAR"/>
    <w:uiPriority w:val="99"/>
    <w:unhideWhenUsed/>
    <w:rsid w:val="00900CFD"/>
    <w:pPr>
      <w:tabs>
        <w:tab w:val="center" w:pos="4513"/>
        <w:tab w:val="right" w:pos="9026"/>
      </w:tabs>
      <w:spacing w:after="0" w:line="240" w:lineRule="auto"/>
    </w:pPr>
  </w:style>
  <w:style w:type="character" w:customStyle="1" w:styleId="FooterKAR">
    <w:name w:val="Footer KAR"/>
    <w:basedOn w:val="FontParagrafDefault"/>
    <w:link w:val="Footer"/>
    <w:uiPriority w:val="99"/>
    <w:rsid w:val="00900CFD"/>
  </w:style>
  <w:style w:type="character" w:styleId="SebutanYangBelumTerselesaikan">
    <w:name w:val="Unresolved Mention"/>
    <w:basedOn w:val="FontParagrafDefault"/>
    <w:uiPriority w:val="99"/>
    <w:semiHidden/>
    <w:unhideWhenUsed/>
    <w:rsid w:val="00745EDC"/>
    <w:rPr>
      <w:color w:val="605E5C"/>
      <w:shd w:val="clear" w:color="auto" w:fill="E1DFDD"/>
    </w:rPr>
  </w:style>
  <w:style w:type="paragraph" w:styleId="TeksCatatanAkhir">
    <w:name w:val="endnote text"/>
    <w:basedOn w:val="Normal"/>
    <w:link w:val="TeksCatatanAkhirKAR"/>
    <w:uiPriority w:val="99"/>
    <w:semiHidden/>
    <w:unhideWhenUsed/>
    <w:rsid w:val="009D47E9"/>
    <w:pPr>
      <w:spacing w:after="0" w:line="240" w:lineRule="auto"/>
    </w:pPr>
    <w:rPr>
      <w:sz w:val="20"/>
      <w:szCs w:val="20"/>
    </w:rPr>
  </w:style>
  <w:style w:type="character" w:customStyle="1" w:styleId="TeksCatatanAkhirKAR">
    <w:name w:val="Teks Catatan Akhir KAR"/>
    <w:basedOn w:val="FontParagrafDefault"/>
    <w:link w:val="TeksCatatanAkhir"/>
    <w:uiPriority w:val="99"/>
    <w:semiHidden/>
    <w:rsid w:val="009D47E9"/>
    <w:rPr>
      <w:sz w:val="20"/>
      <w:szCs w:val="20"/>
    </w:rPr>
  </w:style>
  <w:style w:type="character" w:styleId="ReferensiCatatanAkhir">
    <w:name w:val="endnote reference"/>
    <w:basedOn w:val="FontParagrafDefault"/>
    <w:uiPriority w:val="99"/>
    <w:semiHidden/>
    <w:unhideWhenUsed/>
    <w:rsid w:val="009D47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66320">
      <w:bodyDiv w:val="1"/>
      <w:marLeft w:val="0"/>
      <w:marRight w:val="0"/>
      <w:marTop w:val="0"/>
      <w:marBottom w:val="0"/>
      <w:divBdr>
        <w:top w:val="none" w:sz="0" w:space="0" w:color="auto"/>
        <w:left w:val="none" w:sz="0" w:space="0" w:color="auto"/>
        <w:bottom w:val="none" w:sz="0" w:space="0" w:color="auto"/>
        <w:right w:val="none" w:sz="0" w:space="0" w:color="auto"/>
      </w:divBdr>
    </w:div>
    <w:div w:id="317151443">
      <w:bodyDiv w:val="1"/>
      <w:marLeft w:val="0"/>
      <w:marRight w:val="0"/>
      <w:marTop w:val="0"/>
      <w:marBottom w:val="0"/>
      <w:divBdr>
        <w:top w:val="none" w:sz="0" w:space="0" w:color="auto"/>
        <w:left w:val="none" w:sz="0" w:space="0" w:color="auto"/>
        <w:bottom w:val="none" w:sz="0" w:space="0" w:color="auto"/>
        <w:right w:val="none" w:sz="0" w:space="0" w:color="auto"/>
      </w:divBdr>
    </w:div>
    <w:div w:id="353308040">
      <w:bodyDiv w:val="1"/>
      <w:marLeft w:val="0"/>
      <w:marRight w:val="0"/>
      <w:marTop w:val="0"/>
      <w:marBottom w:val="0"/>
      <w:divBdr>
        <w:top w:val="none" w:sz="0" w:space="0" w:color="auto"/>
        <w:left w:val="none" w:sz="0" w:space="0" w:color="auto"/>
        <w:bottom w:val="none" w:sz="0" w:space="0" w:color="auto"/>
        <w:right w:val="none" w:sz="0" w:space="0" w:color="auto"/>
      </w:divBdr>
    </w:div>
    <w:div w:id="1199511219">
      <w:bodyDiv w:val="1"/>
      <w:marLeft w:val="0"/>
      <w:marRight w:val="0"/>
      <w:marTop w:val="0"/>
      <w:marBottom w:val="0"/>
      <w:divBdr>
        <w:top w:val="none" w:sz="0" w:space="0" w:color="auto"/>
        <w:left w:val="none" w:sz="0" w:space="0" w:color="auto"/>
        <w:bottom w:val="none" w:sz="0" w:space="0" w:color="auto"/>
        <w:right w:val="none" w:sz="0" w:space="0" w:color="auto"/>
      </w:divBdr>
    </w:div>
    <w:div w:id="181367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berita.baca.co.id/29344314?origin=relative&amp;pageId=c6e695b2-6f60-4004-96b9-2e8c1b6c3f90&amp;PageIndex=0" TargetMode="External" /><Relationship Id="rId5" Type="http://schemas.openxmlformats.org/officeDocument/2006/relationships/webSettings" Target="webSettings.xml" /><Relationship Id="rId10" Type="http://schemas.openxmlformats.org/officeDocument/2006/relationships/hyperlink" Target="https://www.suarantb.com/ekonomi.dan.bisnis/2019/01/266789/APBN.2018.Tak.Terserap.Maksimal,Peringatan.Bagi.Kepala.Daerah/" TargetMode="External" /><Relationship Id="rId4" Type="http://schemas.openxmlformats.org/officeDocument/2006/relationships/settings" Target="settings.xml" /><Relationship Id="rId9" Type="http://schemas.openxmlformats.org/officeDocument/2006/relationships/hyperlink" Target="https://www.suara.com" TargetMode="Externa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E2884-85D8-B146-A82E-04B973939EC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andresetyarso@gmail.com</cp:lastModifiedBy>
  <cp:revision>2</cp:revision>
  <dcterms:created xsi:type="dcterms:W3CDTF">2019-07-25T04:15:00Z</dcterms:created>
  <dcterms:modified xsi:type="dcterms:W3CDTF">2019-07-25T04:15:00Z</dcterms:modified>
</cp:coreProperties>
</file>