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16FA2" w14:textId="1B7A0D8D" w:rsidR="009B5B1A" w:rsidRDefault="009B5B1A" w:rsidP="009B5B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B1A">
        <w:rPr>
          <w:rFonts w:ascii="Times New Roman" w:hAnsi="Times New Roman" w:cs="Times New Roman"/>
          <w:b/>
          <w:bCs/>
          <w:sz w:val="24"/>
          <w:szCs w:val="24"/>
        </w:rPr>
        <w:t>KONSTRUKSI JALAN KE KAWASAN MANDALIKA DIMULAI MEI</w:t>
      </w:r>
    </w:p>
    <w:p w14:paraId="34668BFA" w14:textId="1E1D53A0" w:rsidR="009B5B1A" w:rsidRDefault="009B5B1A" w:rsidP="009B5B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BE7BC41" wp14:editId="505D15E2">
            <wp:extent cx="4010278" cy="2673350"/>
            <wp:effectExtent l="0" t="0" r="9525" b="0"/>
            <wp:docPr id="2" name="Picture 2" descr="Kementerian PUPR harapkan konstruksi jalan Mandalika mulai Mei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menterian PUPR harapkan konstruksi jalan Mandalika mulai Mei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069" cy="269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DD067" w14:textId="62F0976B" w:rsidR="009B5B1A" w:rsidRDefault="009B5B1A" w:rsidP="009B5B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B5B1A">
        <w:rPr>
          <w:rFonts w:ascii="Times New Roman" w:hAnsi="Times New Roman" w:cs="Times New Roman"/>
          <w:b/>
          <w:bCs/>
          <w:sz w:val="24"/>
          <w:szCs w:val="24"/>
        </w:rPr>
        <w:t>www.antaranews.com</w:t>
      </w:r>
    </w:p>
    <w:p w14:paraId="003071F0" w14:textId="77777777" w:rsidR="009B5B1A" w:rsidRPr="009B5B1A" w:rsidRDefault="009B5B1A" w:rsidP="009B5B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451D2" w14:textId="42EDC102" w:rsidR="009B5B1A" w:rsidRPr="009B5B1A" w:rsidRDefault="009B5B1A" w:rsidP="009B5B1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Pemprov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NTB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melalui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Dinas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Pekerjaan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Umum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dan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Penataan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Ruang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(PUPR)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memastikan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pelaksanaan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pembangunan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jalan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by pass Lombok International Airport (LIA)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menuju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KEK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Mandalika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on schedule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atau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sesuai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jadwal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Konstruksi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pembangunan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jalan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by pass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tersebut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mulai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dilaksanakan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Mei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mendatang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</w:p>
    <w:p w14:paraId="6F0753A1" w14:textId="77777777" w:rsidR="009B5B1A" w:rsidRDefault="009B5B1A" w:rsidP="009B5B1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Kepala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Dinas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PUPR NTB, Ir. H.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Azhar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MM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menjelaskan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saat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ini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lelang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konstruksi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pembangunan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prioritas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nasional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untuk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mendukung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MotoGP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Mandalika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2021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mendatang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sedang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berjalan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Kementerian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Pekerjaan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Umum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dan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Perumahan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Rakyat (PUPR)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membagi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tersebut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menjadi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tiga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Dan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pembangunannya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ditargetkan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tuntas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pada April 2021.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‘’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by pass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bandara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– KEK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Mandalika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on schedule.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Sekarang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dalam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proses tender. Kira-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kira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bulan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Mei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konstruksinya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dimulai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,”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terang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Azhar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dikonfirmasi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Suara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NTB,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Selasa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10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Maret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2020.</w:t>
      </w:r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Azhar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mengatakan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pembangunan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jalan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by pass LIA-KEK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Mandalika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sepanjang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17 km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tersebut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sudah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tak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ada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masalah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Karena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persoalan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lahan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sudah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tidak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ada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masalah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lagi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Sekarang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tinggal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menunggu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proses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lelang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selesai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baru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kemudian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mulai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dilakukan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pembangunan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fisik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di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lapangan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“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Tinggal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jalan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saja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Itu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nanti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dibagi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tiga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paket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Memang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tender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itu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multiyears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Nanti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selesainya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mungkin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gram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April  2021</w:t>
      </w:r>
      <w:proofErr w:type="gram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,”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katanya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</w:p>
    <w:p w14:paraId="2BFFAC40" w14:textId="77777777" w:rsidR="009B5B1A" w:rsidRDefault="009B5B1A" w:rsidP="009B5B1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lastRenderedPageBreak/>
        <w:t>Apakah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pembangunan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jalan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by pass LIA-KEK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Mandalika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mampu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terkejar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sebelum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pelaksanaan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MotoGP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Mandalika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sekitar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Oktober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2021?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Azhar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mengatakan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melihat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jadwal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ada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mampu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terkejar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Bahkan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ditargetkan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tuntas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pada April 2021.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menjelaskan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pelaksanaan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pembangunan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jalan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by pass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tersebut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banyak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menggunakan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alat-alat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berat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Jika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Mei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mendatang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konstruksi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sudah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dimulai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maka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pada 2020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pengerjaannya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sekitar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8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bulan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Kemudian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pada 2021,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penuntasan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pekerjaan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sekitar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empat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bulan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Sehingga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pembangunan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by pass LIA-KEK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Mandalika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sudah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direncanakan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dikerjakan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selama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setahun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</w:p>
    <w:p w14:paraId="5B3833E9" w14:textId="07E0F9E1" w:rsidR="009B5B1A" w:rsidRDefault="009B5B1A" w:rsidP="009B5B1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D"/>
        </w:rPr>
      </w:pP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Apabila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jalan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by pass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tersebut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sudah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selesai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dikerjakan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Maka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jarak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tempuh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bandara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menuju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Sirkuit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Mandalika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sekitar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15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menit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Begitu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wisatawan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turun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bandara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bisa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langsung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menuju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Sirkuit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Mandalika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“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Cuma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sekarang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ini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main road (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jalan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utama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)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saja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dikerjakan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Jalur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lambatnya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menyusul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Karena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jalur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lambat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masih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bisa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dipakai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jalur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lama,”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terangnya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Ketiga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paket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pembangunan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proofErr w:type="gram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jalan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  by</w:t>
      </w:r>
      <w:proofErr w:type="gram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pass LIA – KEK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Mandalika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masih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dalam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proses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lelang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Paket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1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dialokasikan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anggaran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dari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APBN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dengan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pagu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Rp238,569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miliar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lebih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Paket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2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sebesar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Rp394,815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miliar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dan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paket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3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sebesar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Rp180,555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miliar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lebih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Sedangkan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untuk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paket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pengawasan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teknik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pembangunan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jalan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b pass LIA – KEK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Mandalika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dialokasikan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anggaran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dengan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pagu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Rp9,376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miliar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lebih</w:t>
      </w:r>
      <w:proofErr w:type="spellEnd"/>
      <w:r w:rsidRPr="009B5B1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 </w:t>
      </w:r>
    </w:p>
    <w:p w14:paraId="5CDEE0F6" w14:textId="6D692E5B" w:rsidR="009B5B1A" w:rsidRDefault="009B5B1A" w:rsidP="009B5B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D"/>
        </w:rPr>
      </w:pPr>
    </w:p>
    <w:p w14:paraId="772455F6" w14:textId="7323A36E" w:rsidR="009B5B1A" w:rsidRPr="009B5B1A" w:rsidRDefault="009B5B1A" w:rsidP="009B5B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D"/>
        </w:rPr>
        <w:t>Sumber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D"/>
        </w:rPr>
        <w:t>Berita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D"/>
        </w:rPr>
        <w:t>:</w:t>
      </w:r>
    </w:p>
    <w:p w14:paraId="3DF0D35B" w14:textId="06F3F704" w:rsidR="009B5B1A" w:rsidRPr="009B5B1A" w:rsidRDefault="009B5B1A" w:rsidP="009B5B1A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B4D4A">
          <w:rPr>
            <w:rStyle w:val="Hyperlink"/>
            <w:rFonts w:ascii="Times New Roman" w:hAnsi="Times New Roman" w:cs="Times New Roman"/>
            <w:sz w:val="24"/>
            <w:szCs w:val="24"/>
          </w:rPr>
          <w:t>https://www.suarantb.com/ntb/2020/290602/Konstruksi.Jalan.ke.Kawasan.Mandalika.Dimulai.Mei/</w:t>
        </w:r>
      </w:hyperlink>
      <w:r w:rsidRPr="009B5B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5241F258" w14:textId="53A622EE" w:rsidR="009B5B1A" w:rsidRDefault="009B5B1A" w:rsidP="009B5B1A">
      <w:pPr>
        <w:pStyle w:val="ListParagraph"/>
        <w:numPr>
          <w:ilvl w:val="0"/>
          <w:numId w:val="45"/>
        </w:numPr>
        <w:spacing w:after="0" w:line="360" w:lineRule="auto"/>
        <w:jc w:val="both"/>
      </w:pPr>
      <w:hyperlink r:id="rId10" w:history="1">
        <w:r w:rsidRPr="00EB4D4A">
          <w:rPr>
            <w:rStyle w:val="Hyperlink"/>
          </w:rPr>
          <w:t>https://www.antaranews.com/berita/1363854/kementerian-pupr-harapkan-konstruksi-jalan-mandalika-mulai-mei-2020</w:t>
        </w:r>
      </w:hyperlink>
      <w:r w:rsidRPr="009B5B1A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2020</w:t>
      </w:r>
      <w:r w:rsidRPr="009B5B1A">
        <w:rPr>
          <w:rFonts w:ascii="Times New Roman" w:hAnsi="Times New Roman" w:cs="Times New Roman"/>
          <w:sz w:val="24"/>
          <w:szCs w:val="24"/>
        </w:rPr>
        <w:t>.</w:t>
      </w:r>
    </w:p>
    <w:p w14:paraId="3244374F" w14:textId="77777777" w:rsidR="009B5B1A" w:rsidRPr="009B5B1A" w:rsidRDefault="009B5B1A" w:rsidP="009B5B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919B5" w14:textId="77777777" w:rsidR="009B5B1A" w:rsidRPr="009B5B1A" w:rsidRDefault="009B5B1A" w:rsidP="009B5B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b/>
          <w:bCs/>
          <w:sz w:val="24"/>
          <w:szCs w:val="24"/>
        </w:rPr>
        <w:t>Catatan</w:t>
      </w:r>
      <w:proofErr w:type="spellEnd"/>
      <w:r w:rsidRPr="009B5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b/>
          <w:bCs/>
          <w:sz w:val="24"/>
          <w:szCs w:val="24"/>
        </w:rPr>
        <w:t>Berita</w:t>
      </w:r>
      <w:proofErr w:type="spellEnd"/>
      <w:r w:rsidRPr="009B5B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8C11D1" w14:textId="77777777" w:rsidR="009B5B1A" w:rsidRPr="009B5B1A" w:rsidRDefault="009B5B1A" w:rsidP="009B5B1A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B1A">
        <w:rPr>
          <w:rFonts w:ascii="Times New Roman" w:hAnsi="Times New Roman" w:cs="Times New Roman"/>
          <w:sz w:val="24"/>
          <w:szCs w:val="24"/>
        </w:rPr>
        <w:t xml:space="preserve">Dasar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</w:p>
    <w:p w14:paraId="07944955" w14:textId="77777777" w:rsidR="009B5B1A" w:rsidRPr="009B5B1A" w:rsidRDefault="009B5B1A" w:rsidP="009B5B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B1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</w:p>
    <w:p w14:paraId="5ECE0384" w14:textId="77777777" w:rsidR="009B5B1A" w:rsidRPr="009B5B1A" w:rsidRDefault="009B5B1A" w:rsidP="009B5B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B1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122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.</w:t>
      </w:r>
    </w:p>
    <w:p w14:paraId="2069BD4A" w14:textId="77777777" w:rsidR="009B5B1A" w:rsidRPr="009B5B1A" w:rsidRDefault="009B5B1A" w:rsidP="009B5B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F8DA9" w14:textId="77777777" w:rsidR="009B5B1A" w:rsidRPr="009B5B1A" w:rsidRDefault="009B5B1A" w:rsidP="009B5B1A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:</w:t>
      </w:r>
    </w:p>
    <w:p w14:paraId="053A54B4" w14:textId="77777777" w:rsidR="009B5B1A" w:rsidRPr="009B5B1A" w:rsidRDefault="009B5B1A" w:rsidP="009B5B1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ditingkat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penyediaannya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diprioritaskan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.</w:t>
      </w:r>
      <w:r w:rsidRPr="009B5B1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29D03BBC" w14:textId="77777777" w:rsidR="009B5B1A" w:rsidRPr="009B5B1A" w:rsidRDefault="009B5B1A" w:rsidP="009B5B1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.</w:t>
      </w:r>
      <w:r w:rsidRPr="009B5B1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34905392" w14:textId="77777777" w:rsidR="009B5B1A" w:rsidRPr="009B5B1A" w:rsidRDefault="009B5B1A" w:rsidP="009B5B1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KPPIP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.</w:t>
      </w:r>
      <w:r w:rsidRPr="009B5B1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1FE2CB54" w14:textId="77777777" w:rsidR="009B5B1A" w:rsidRPr="009B5B1A" w:rsidRDefault="009B5B1A" w:rsidP="009B5B1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Prastudi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(</w:t>
      </w:r>
      <w:r w:rsidRPr="009B5B1A">
        <w:rPr>
          <w:rFonts w:ascii="Times New Roman" w:hAnsi="Times New Roman" w:cs="Times New Roman"/>
          <w:i/>
          <w:iCs/>
          <w:sz w:val="24"/>
          <w:szCs w:val="24"/>
        </w:rPr>
        <w:t>outline business cause</w:t>
      </w:r>
      <w:r w:rsidRPr="009B5B1A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(</w:t>
      </w:r>
      <w:r w:rsidRPr="009B5B1A">
        <w:rPr>
          <w:rFonts w:ascii="Times New Roman" w:hAnsi="Times New Roman" w:cs="Times New Roman"/>
          <w:i/>
          <w:iCs/>
          <w:sz w:val="24"/>
          <w:szCs w:val="24"/>
        </w:rPr>
        <w:t>final business cause).</w:t>
      </w:r>
      <w:r w:rsidRPr="009B5B1A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5A9F0D56" w14:textId="77777777" w:rsidR="009B5B1A" w:rsidRPr="009B5B1A" w:rsidRDefault="009B5B1A" w:rsidP="009B5B1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F8272" w14:textId="77777777" w:rsidR="009B5B1A" w:rsidRPr="009B5B1A" w:rsidRDefault="009B5B1A" w:rsidP="009B5B1A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</w:p>
    <w:p w14:paraId="0DCC1FF7" w14:textId="77777777" w:rsidR="009B5B1A" w:rsidRPr="009B5B1A" w:rsidRDefault="009B5B1A" w:rsidP="009B5B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B1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:</w:t>
      </w:r>
    </w:p>
    <w:p w14:paraId="6AF30452" w14:textId="77777777" w:rsidR="009B5B1A" w:rsidRPr="009B5B1A" w:rsidRDefault="009B5B1A" w:rsidP="009B5B1A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07F9A378" w14:textId="77777777" w:rsidR="009B5B1A" w:rsidRPr="009B5B1A" w:rsidRDefault="009B5B1A" w:rsidP="009B5B1A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wilayah;</w:t>
      </w:r>
    </w:p>
    <w:p w14:paraId="0F00F8CE" w14:textId="77777777" w:rsidR="009B5B1A" w:rsidRPr="009B5B1A" w:rsidRDefault="009B5B1A" w:rsidP="009B5B1A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wilayah;</w:t>
      </w:r>
    </w:p>
    <w:p w14:paraId="3355B1E1" w14:textId="77777777" w:rsidR="009B5B1A" w:rsidRPr="009B5B1A" w:rsidRDefault="009B5B1A" w:rsidP="009B5B1A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ksejahteraan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 dan/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atau</w:t>
      </w:r>
      <w:proofErr w:type="spellEnd"/>
    </w:p>
    <w:p w14:paraId="7995E3AB" w14:textId="77777777" w:rsidR="009B5B1A" w:rsidRPr="009B5B1A" w:rsidRDefault="009B5B1A" w:rsidP="009B5B1A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lastRenderedPageBreak/>
        <w:t>membutuhkan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Sama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.</w:t>
      </w:r>
      <w:r w:rsidRPr="009B5B1A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14:paraId="064C1CA6" w14:textId="77777777" w:rsidR="009B5B1A" w:rsidRPr="009B5B1A" w:rsidRDefault="009B5B1A" w:rsidP="009B5B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3B3CB" w14:textId="77777777" w:rsidR="009B5B1A" w:rsidRPr="009B5B1A" w:rsidRDefault="009B5B1A" w:rsidP="009B5B1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:</w:t>
      </w:r>
    </w:p>
    <w:p w14:paraId="10454206" w14:textId="77777777" w:rsidR="009B5B1A" w:rsidRPr="009B5B1A" w:rsidRDefault="009B5B1A" w:rsidP="009B5B1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4C029A66" w14:textId="77777777" w:rsidR="009B5B1A" w:rsidRPr="009B5B1A" w:rsidRDefault="009B5B1A" w:rsidP="009B5B1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1AEA1A11" w14:textId="77777777" w:rsidR="009B5B1A" w:rsidRPr="009B5B1A" w:rsidRDefault="009B5B1A" w:rsidP="009B5B1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pengairan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21F6BDF1" w14:textId="77777777" w:rsidR="009B5B1A" w:rsidRPr="009B5B1A" w:rsidRDefault="009B5B1A" w:rsidP="009B5B1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11E19022" w14:textId="77777777" w:rsidR="009B5B1A" w:rsidRPr="009B5B1A" w:rsidRDefault="009B5B1A" w:rsidP="009B5B1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15632A11" w14:textId="77777777" w:rsidR="009B5B1A" w:rsidRPr="009B5B1A" w:rsidRDefault="009B5B1A" w:rsidP="009B5B1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persampahan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18518D1E" w14:textId="77777777" w:rsidR="009B5B1A" w:rsidRPr="009B5B1A" w:rsidRDefault="009B5B1A" w:rsidP="009B5B1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0B9F818E" w14:textId="77777777" w:rsidR="009B5B1A" w:rsidRPr="009B5B1A" w:rsidRDefault="009B5B1A" w:rsidP="009B5B1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ketenagalistrikan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 dan</w:t>
      </w:r>
    </w:p>
    <w:p w14:paraId="0139ED45" w14:textId="77777777" w:rsidR="009B5B1A" w:rsidRPr="009B5B1A" w:rsidRDefault="009B5B1A" w:rsidP="009B5B1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gas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.</w:t>
      </w:r>
      <w:r w:rsidRPr="009B5B1A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14:paraId="26502AE3" w14:textId="77777777" w:rsidR="009B5B1A" w:rsidRPr="009B5B1A" w:rsidRDefault="009B5B1A" w:rsidP="009B5B1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:</w:t>
      </w:r>
    </w:p>
    <w:p w14:paraId="6C8A107E" w14:textId="77777777" w:rsidR="009B5B1A" w:rsidRPr="009B5B1A" w:rsidRDefault="009B5B1A" w:rsidP="009B5B1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perkeretaapian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07A7A8CD" w14:textId="77777777" w:rsidR="009B5B1A" w:rsidRPr="009B5B1A" w:rsidRDefault="009B5B1A" w:rsidP="009B5B1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pelabuhan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46037572" w14:textId="77777777" w:rsidR="009B5B1A" w:rsidRPr="009B5B1A" w:rsidRDefault="009B5B1A" w:rsidP="009B5B1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pelabuhan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penyeberangan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0DBD805E" w14:textId="77777777" w:rsidR="009B5B1A" w:rsidRPr="009B5B1A" w:rsidRDefault="009B5B1A" w:rsidP="009B5B1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kebandarudaraan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 dan</w:t>
      </w:r>
    </w:p>
    <w:p w14:paraId="39F2437B" w14:textId="77777777" w:rsidR="009B5B1A" w:rsidRPr="009B5B1A" w:rsidRDefault="009B5B1A" w:rsidP="009B5B1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darat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.</w:t>
      </w:r>
      <w:r w:rsidRPr="009B5B1A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14:paraId="1E139B67" w14:textId="77777777" w:rsidR="009B5B1A" w:rsidRPr="009B5B1A" w:rsidRDefault="009B5B1A" w:rsidP="009B5B1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:</w:t>
      </w:r>
    </w:p>
    <w:p w14:paraId="713D9076" w14:textId="77777777" w:rsidR="009B5B1A" w:rsidRPr="009B5B1A" w:rsidRDefault="009B5B1A" w:rsidP="009B5B1A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B1A">
        <w:rPr>
          <w:rFonts w:ascii="Times New Roman" w:hAnsi="Times New Roman" w:cs="Times New Roman"/>
          <w:sz w:val="24"/>
          <w:szCs w:val="24"/>
        </w:rPr>
        <w:t xml:space="preserve">Jalan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61DBFB19" w14:textId="77777777" w:rsidR="009B5B1A" w:rsidRPr="009B5B1A" w:rsidRDefault="009B5B1A" w:rsidP="009B5B1A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B1A">
        <w:rPr>
          <w:rFonts w:ascii="Times New Roman" w:hAnsi="Times New Roman" w:cs="Times New Roman"/>
          <w:sz w:val="24"/>
          <w:szCs w:val="24"/>
        </w:rPr>
        <w:t xml:space="preserve">Jalan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tol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4F3CCE37" w14:textId="77777777" w:rsidR="009B5B1A" w:rsidRPr="009B5B1A" w:rsidRDefault="009B5B1A" w:rsidP="009B5B1A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 dan</w:t>
      </w:r>
    </w:p>
    <w:p w14:paraId="6ABFEF8A" w14:textId="77777777" w:rsidR="009B5B1A" w:rsidRPr="009B5B1A" w:rsidRDefault="009B5B1A" w:rsidP="009B5B1A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tol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.</w:t>
      </w:r>
      <w:r w:rsidRPr="009B5B1A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14:paraId="60557FFC" w14:textId="77777777" w:rsidR="009B5B1A" w:rsidRPr="009B5B1A" w:rsidRDefault="009B5B1A" w:rsidP="009B5B1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pengairan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:</w:t>
      </w:r>
    </w:p>
    <w:p w14:paraId="4B1BD43E" w14:textId="77777777" w:rsidR="009B5B1A" w:rsidRPr="009B5B1A" w:rsidRDefault="009B5B1A" w:rsidP="009B5B1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Waduk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05AA255F" w14:textId="77777777" w:rsidR="009B5B1A" w:rsidRPr="009B5B1A" w:rsidRDefault="009B5B1A" w:rsidP="009B5B1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Bendung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6B684EA1" w14:textId="77777777" w:rsidR="009B5B1A" w:rsidRPr="009B5B1A" w:rsidRDefault="009B5B1A" w:rsidP="009B5B1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pembawa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 dan</w:t>
      </w:r>
    </w:p>
    <w:p w14:paraId="1B9D5B45" w14:textId="77777777" w:rsidR="009B5B1A" w:rsidRPr="009B5B1A" w:rsidRDefault="009B5B1A" w:rsidP="009B5B1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lastRenderedPageBreak/>
        <w:t>Bangunan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.</w:t>
      </w:r>
      <w:r w:rsidRPr="009B5B1A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14:paraId="7EC32561" w14:textId="77777777" w:rsidR="009B5B1A" w:rsidRPr="009B5B1A" w:rsidRDefault="009B5B1A" w:rsidP="009B5B1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:</w:t>
      </w:r>
    </w:p>
    <w:p w14:paraId="1F7DE6BD" w14:textId="77777777" w:rsidR="009B5B1A" w:rsidRPr="009B5B1A" w:rsidRDefault="009B5B1A" w:rsidP="009B5B1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3C0994BC" w14:textId="77777777" w:rsidR="009B5B1A" w:rsidRPr="009B5B1A" w:rsidRDefault="009B5B1A" w:rsidP="009B5B1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569BD35A" w14:textId="77777777" w:rsidR="009B5B1A" w:rsidRPr="009B5B1A" w:rsidRDefault="009B5B1A" w:rsidP="009B5B1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 dan</w:t>
      </w:r>
    </w:p>
    <w:p w14:paraId="3308027B" w14:textId="77777777" w:rsidR="009B5B1A" w:rsidRPr="009B5B1A" w:rsidRDefault="009B5B1A" w:rsidP="009B5B1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.</w:t>
      </w:r>
      <w:r w:rsidRPr="009B5B1A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14:paraId="5553F9E8" w14:textId="77777777" w:rsidR="009B5B1A" w:rsidRPr="009B5B1A" w:rsidRDefault="009B5B1A" w:rsidP="009B5B1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:</w:t>
      </w:r>
    </w:p>
    <w:p w14:paraId="11A70F3A" w14:textId="77777777" w:rsidR="009B5B1A" w:rsidRPr="009B5B1A" w:rsidRDefault="009B5B1A" w:rsidP="009B5B1A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50FFE4A8" w14:textId="77777777" w:rsidR="009B5B1A" w:rsidRPr="009B5B1A" w:rsidRDefault="009B5B1A" w:rsidP="009B5B1A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pengumpul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 dan</w:t>
      </w:r>
    </w:p>
    <w:p w14:paraId="03F3F0E7" w14:textId="77777777" w:rsidR="009B5B1A" w:rsidRPr="009B5B1A" w:rsidRDefault="009B5B1A" w:rsidP="009B5B1A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.</w:t>
      </w:r>
      <w:r w:rsidRPr="009B5B1A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14:paraId="406D88A9" w14:textId="77777777" w:rsidR="009B5B1A" w:rsidRPr="009B5B1A" w:rsidRDefault="009B5B1A" w:rsidP="009B5B1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persampahan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:</w:t>
      </w:r>
    </w:p>
    <w:p w14:paraId="4520A4D2" w14:textId="77777777" w:rsidR="009B5B1A" w:rsidRPr="009B5B1A" w:rsidRDefault="009B5B1A" w:rsidP="009B5B1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Pengangkut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105FD592" w14:textId="77777777" w:rsidR="009B5B1A" w:rsidRPr="009B5B1A" w:rsidRDefault="009B5B1A" w:rsidP="009B5B1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 dan</w:t>
      </w:r>
    </w:p>
    <w:p w14:paraId="47910E3E" w14:textId="77777777" w:rsidR="009B5B1A" w:rsidRPr="009B5B1A" w:rsidRDefault="009B5B1A" w:rsidP="009B5B1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.</w:t>
      </w:r>
      <w:r w:rsidRPr="009B5B1A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14:paraId="22DC2FF3" w14:textId="77777777" w:rsidR="009B5B1A" w:rsidRPr="009B5B1A" w:rsidRDefault="009B5B1A" w:rsidP="009B5B1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ketenagalistrikan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:</w:t>
      </w:r>
    </w:p>
    <w:p w14:paraId="7428456E" w14:textId="77777777" w:rsidR="009B5B1A" w:rsidRPr="009B5B1A" w:rsidRDefault="009B5B1A" w:rsidP="009B5B1A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47FC8A17" w14:textId="77777777" w:rsidR="009B5B1A" w:rsidRPr="009B5B1A" w:rsidRDefault="009B5B1A" w:rsidP="009B5B1A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3E4A7B62" w14:textId="77777777" w:rsidR="009B5B1A" w:rsidRPr="009B5B1A" w:rsidRDefault="009B5B1A" w:rsidP="009B5B1A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Gardu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4A6C2F13" w14:textId="77777777" w:rsidR="009B5B1A" w:rsidRPr="009B5B1A" w:rsidRDefault="009B5B1A" w:rsidP="009B5B1A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 dan</w:t>
      </w:r>
    </w:p>
    <w:p w14:paraId="3356C8E4" w14:textId="77777777" w:rsidR="009B5B1A" w:rsidRPr="009B5B1A" w:rsidRDefault="009B5B1A" w:rsidP="009B5B1A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eksploitasi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  <w:r w:rsidRPr="009B5B1A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</w:p>
    <w:p w14:paraId="23659644" w14:textId="77777777" w:rsidR="009B5B1A" w:rsidRPr="009B5B1A" w:rsidRDefault="009B5B1A" w:rsidP="009B5B1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gas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:</w:t>
      </w:r>
    </w:p>
    <w:p w14:paraId="0B427477" w14:textId="77777777" w:rsidR="009B5B1A" w:rsidRPr="009B5B1A" w:rsidRDefault="009B5B1A" w:rsidP="009B5B1A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Kilang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0F7AB0D5" w14:textId="77777777" w:rsidR="009B5B1A" w:rsidRPr="009B5B1A" w:rsidRDefault="009B5B1A" w:rsidP="009B5B1A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B1A">
        <w:rPr>
          <w:rFonts w:ascii="Times New Roman" w:hAnsi="Times New Roman" w:cs="Times New Roman"/>
          <w:sz w:val="24"/>
          <w:szCs w:val="24"/>
        </w:rPr>
        <w:t>Depo; dan</w:t>
      </w:r>
    </w:p>
    <w:p w14:paraId="70DE864F" w14:textId="77777777" w:rsidR="009B5B1A" w:rsidRPr="009B5B1A" w:rsidRDefault="009B5B1A" w:rsidP="009B5B1A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gas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.</w:t>
      </w:r>
      <w:r w:rsidRPr="009B5B1A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</w:p>
    <w:p w14:paraId="23D387FA" w14:textId="77777777" w:rsidR="009B5B1A" w:rsidRPr="009B5B1A" w:rsidRDefault="009B5B1A" w:rsidP="009B5B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43E4B" w14:textId="77777777" w:rsidR="009B5B1A" w:rsidRPr="009B5B1A" w:rsidRDefault="009B5B1A" w:rsidP="009B5B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KPPIP (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):</w:t>
      </w:r>
    </w:p>
    <w:p w14:paraId="74A666C2" w14:textId="77777777" w:rsidR="009B5B1A" w:rsidRPr="009B5B1A" w:rsidRDefault="009B5B1A" w:rsidP="009B5B1A">
      <w:pPr>
        <w:pStyle w:val="ListParagraph"/>
        <w:numPr>
          <w:ilvl w:val="1"/>
          <w:numId w:val="4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2EC1246D" w14:textId="77777777" w:rsidR="009B5B1A" w:rsidRPr="009B5B1A" w:rsidRDefault="009B5B1A" w:rsidP="009B5B1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lastRenderedPageBreak/>
        <w:t>memantau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429F3E7E" w14:textId="77777777" w:rsidR="009B5B1A" w:rsidRPr="009B5B1A" w:rsidRDefault="009B5B1A" w:rsidP="009B5B1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722D39E4" w14:textId="77777777" w:rsidR="009B5B1A" w:rsidRPr="009B5B1A" w:rsidRDefault="009B5B1A" w:rsidP="009B5B1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Prastudi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evaluasinya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</w:t>
      </w:r>
    </w:p>
    <w:p w14:paraId="4C12E307" w14:textId="77777777" w:rsidR="009B5B1A" w:rsidRPr="009B5B1A" w:rsidRDefault="009B5B1A" w:rsidP="009B5B1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penyiapan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; dan</w:t>
      </w:r>
    </w:p>
    <w:p w14:paraId="0B9C5F7C" w14:textId="77777777" w:rsidR="009B5B1A" w:rsidRPr="009B5B1A" w:rsidRDefault="009B5B1A" w:rsidP="009B5B1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1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B5B1A">
        <w:rPr>
          <w:rFonts w:ascii="Times New Roman" w:hAnsi="Times New Roman" w:cs="Times New Roman"/>
          <w:sz w:val="24"/>
          <w:szCs w:val="24"/>
        </w:rPr>
        <w:t>.</w:t>
      </w:r>
      <w:r w:rsidRPr="009B5B1A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</w:p>
    <w:p w14:paraId="0907C6A8" w14:textId="77777777" w:rsidR="009B5B1A" w:rsidRPr="009B5B1A" w:rsidRDefault="009B5B1A" w:rsidP="009B5B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CCDC3" w14:textId="77777777" w:rsidR="009B5B1A" w:rsidRPr="009B5B1A" w:rsidRDefault="009B5B1A" w:rsidP="009B5B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8B265" w14:textId="77777777" w:rsidR="00E51597" w:rsidRPr="009B5B1A" w:rsidRDefault="00E51597" w:rsidP="009B5B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1597" w:rsidRPr="009B5B1A" w:rsidSect="00360E04">
      <w:footerReference w:type="default" r:id="rId11"/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F6678" w14:textId="77777777" w:rsidR="001A20DD" w:rsidRDefault="001A20DD" w:rsidP="00B83E03">
      <w:pPr>
        <w:spacing w:after="0" w:line="240" w:lineRule="auto"/>
      </w:pPr>
      <w:r>
        <w:separator/>
      </w:r>
    </w:p>
  </w:endnote>
  <w:endnote w:type="continuationSeparator" w:id="0">
    <w:p w14:paraId="69D393F9" w14:textId="77777777" w:rsidR="001A20DD" w:rsidRDefault="001A20DD" w:rsidP="00B8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36C0" w14:textId="0A9BAF29" w:rsidR="00FE7E0F" w:rsidRDefault="00FE7E0F" w:rsidP="00FE7E0F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BPK RI </w:t>
    </w:r>
    <w:proofErr w:type="spellStart"/>
    <w:r>
      <w:rPr>
        <w:rFonts w:asciiTheme="majorHAnsi" w:eastAsiaTheme="majorEastAsia" w:hAnsiTheme="majorHAnsi" w:cstheme="majorBidi"/>
      </w:rPr>
      <w:t>Perwakilan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Provinsi</w:t>
    </w:r>
    <w:proofErr w:type="spellEnd"/>
    <w:r>
      <w:rPr>
        <w:rFonts w:asciiTheme="majorHAnsi" w:eastAsiaTheme="majorEastAsia" w:hAnsiTheme="majorHAnsi" w:cstheme="majorBidi"/>
      </w:rPr>
      <w:t xml:space="preserve"> Nusa Tenggara Barat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Halaman</w:t>
    </w:r>
    <w:proofErr w:type="spellEnd"/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771AF" w:rsidRPr="008771AF">
      <w:rPr>
        <w:rFonts w:eastAsiaTheme="minorEastAsia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B041919" w14:textId="77777777" w:rsidR="00FE7E0F" w:rsidRDefault="00FE7E0F" w:rsidP="00FE7E0F">
    <w:pPr>
      <w:pStyle w:val="Footer"/>
    </w:pPr>
  </w:p>
  <w:p w14:paraId="1263416C" w14:textId="77777777" w:rsidR="00FE7E0F" w:rsidRDefault="00FE7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BBBC4" w14:textId="77777777" w:rsidR="001A20DD" w:rsidRDefault="001A20DD" w:rsidP="00B83E03">
      <w:pPr>
        <w:spacing w:after="0" w:line="240" w:lineRule="auto"/>
      </w:pPr>
      <w:r>
        <w:separator/>
      </w:r>
    </w:p>
  </w:footnote>
  <w:footnote w:type="continuationSeparator" w:id="0">
    <w:p w14:paraId="03D7FBA6" w14:textId="77777777" w:rsidR="001A20DD" w:rsidRDefault="001A20DD" w:rsidP="00B83E03">
      <w:pPr>
        <w:spacing w:after="0" w:line="240" w:lineRule="auto"/>
      </w:pPr>
      <w:r>
        <w:continuationSeparator/>
      </w:r>
    </w:p>
  </w:footnote>
  <w:footnote w:id="1">
    <w:p w14:paraId="254E6432" w14:textId="77777777" w:rsidR="009B5B1A" w:rsidRPr="00C149B2" w:rsidRDefault="009B5B1A" w:rsidP="009B5B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Peraturan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Presiden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Nomor</w:t>
      </w:r>
      <w:proofErr w:type="spellEnd"/>
      <w:r>
        <w:rPr>
          <w:rFonts w:ascii="Calibri" w:hAnsi="Calibri" w:cs="Calibri"/>
          <w:sz w:val="20"/>
          <w:szCs w:val="20"/>
        </w:rPr>
        <w:t xml:space="preserve"> 75 </w:t>
      </w:r>
      <w:proofErr w:type="spellStart"/>
      <w:r>
        <w:rPr>
          <w:rFonts w:ascii="Calibri" w:hAnsi="Calibri" w:cs="Calibri"/>
          <w:sz w:val="20"/>
          <w:szCs w:val="20"/>
        </w:rPr>
        <w:t>Tahun</w:t>
      </w:r>
      <w:proofErr w:type="spellEnd"/>
      <w:r>
        <w:rPr>
          <w:rFonts w:ascii="Calibri" w:hAnsi="Calibri" w:cs="Calibri"/>
          <w:sz w:val="20"/>
          <w:szCs w:val="20"/>
        </w:rPr>
        <w:t xml:space="preserve"> 2014, </w:t>
      </w:r>
      <w:proofErr w:type="spellStart"/>
      <w:r>
        <w:rPr>
          <w:rFonts w:ascii="Calibri" w:hAnsi="Calibri" w:cs="Calibri"/>
          <w:sz w:val="20"/>
          <w:szCs w:val="20"/>
        </w:rPr>
        <w:t>Pasal</w:t>
      </w:r>
      <w:proofErr w:type="spellEnd"/>
      <w:r>
        <w:rPr>
          <w:rFonts w:ascii="Calibri" w:hAnsi="Calibri" w:cs="Calibri"/>
          <w:sz w:val="20"/>
          <w:szCs w:val="20"/>
        </w:rPr>
        <w:t xml:space="preserve"> 1 Ayat (1)</w:t>
      </w:r>
    </w:p>
  </w:footnote>
  <w:footnote w:id="2">
    <w:p w14:paraId="4B66880A" w14:textId="77777777" w:rsidR="009B5B1A" w:rsidRPr="00C149B2" w:rsidRDefault="009B5B1A" w:rsidP="009B5B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1 Ayat (2)</w:t>
      </w:r>
    </w:p>
  </w:footnote>
  <w:footnote w:id="3">
    <w:p w14:paraId="377DB21D" w14:textId="77777777" w:rsidR="009B5B1A" w:rsidRPr="00C149B2" w:rsidRDefault="009B5B1A" w:rsidP="009B5B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1 Ayat (6)</w:t>
      </w:r>
    </w:p>
  </w:footnote>
  <w:footnote w:id="4">
    <w:p w14:paraId="6C26CB23" w14:textId="77777777" w:rsidR="009B5B1A" w:rsidRPr="00C149B2" w:rsidRDefault="009B5B1A" w:rsidP="009B5B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1 Ayat (7)</w:t>
      </w:r>
    </w:p>
  </w:footnote>
  <w:footnote w:id="5">
    <w:p w14:paraId="274BFE4B" w14:textId="77777777" w:rsidR="009B5B1A" w:rsidRPr="00E473B4" w:rsidRDefault="009B5B1A" w:rsidP="009B5B1A">
      <w:pPr>
        <w:pStyle w:val="FootnoteText"/>
        <w:rPr>
          <w:rFonts w:cstheme="minorHAnsi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456CF">
        <w:rPr>
          <w:rFonts w:cstheme="minorHAnsi"/>
        </w:rPr>
        <w:t>Peraturan</w:t>
      </w:r>
      <w:proofErr w:type="spellEnd"/>
      <w:r w:rsidRPr="00E456CF">
        <w:rPr>
          <w:rFonts w:cstheme="minorHAnsi"/>
        </w:rPr>
        <w:t xml:space="preserve"> </w:t>
      </w:r>
      <w:proofErr w:type="spellStart"/>
      <w:r w:rsidRPr="00E456CF">
        <w:rPr>
          <w:rFonts w:cstheme="minorHAnsi"/>
        </w:rPr>
        <w:t>Presiden</w:t>
      </w:r>
      <w:proofErr w:type="spellEnd"/>
      <w:r w:rsidRPr="00E456CF">
        <w:rPr>
          <w:rFonts w:cstheme="minorHAnsi"/>
        </w:rPr>
        <w:t xml:space="preserve"> </w:t>
      </w:r>
      <w:proofErr w:type="spellStart"/>
      <w:r w:rsidRPr="00E456CF">
        <w:rPr>
          <w:rFonts w:cstheme="minorHAnsi"/>
        </w:rPr>
        <w:t>Nomor</w:t>
      </w:r>
      <w:proofErr w:type="spellEnd"/>
      <w:r w:rsidRPr="00E456CF">
        <w:rPr>
          <w:rFonts w:cstheme="minorHAnsi"/>
        </w:rPr>
        <w:t xml:space="preserve"> 75 </w:t>
      </w:r>
      <w:proofErr w:type="spellStart"/>
      <w:r w:rsidRPr="00E456CF">
        <w:rPr>
          <w:rFonts w:cstheme="minorHAnsi"/>
        </w:rPr>
        <w:t>Tahun</w:t>
      </w:r>
      <w:proofErr w:type="spellEnd"/>
      <w:r w:rsidRPr="00E456CF">
        <w:rPr>
          <w:rFonts w:cstheme="minorHAnsi"/>
        </w:rPr>
        <w:t xml:space="preserve"> 2014, </w:t>
      </w:r>
      <w:proofErr w:type="spellStart"/>
      <w:r w:rsidRPr="00E456CF">
        <w:rPr>
          <w:rFonts w:cstheme="minorHAnsi"/>
        </w:rPr>
        <w:t>Pasal</w:t>
      </w:r>
      <w:proofErr w:type="spellEnd"/>
      <w:r w:rsidRPr="00E456CF">
        <w:rPr>
          <w:rFonts w:cstheme="minorHAnsi"/>
        </w:rPr>
        <w:t xml:space="preserve"> 5</w:t>
      </w:r>
    </w:p>
  </w:footnote>
  <w:footnote w:id="6">
    <w:p w14:paraId="29675166" w14:textId="77777777" w:rsidR="009B5B1A" w:rsidRPr="00C149B2" w:rsidRDefault="009B5B1A" w:rsidP="009B5B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7">
    <w:p w14:paraId="7BAA7AD6" w14:textId="77777777" w:rsidR="009B5B1A" w:rsidRPr="00C149B2" w:rsidRDefault="009B5B1A" w:rsidP="009B5B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8">
    <w:p w14:paraId="56375A34" w14:textId="77777777" w:rsidR="009B5B1A" w:rsidRPr="00C149B2" w:rsidRDefault="009B5B1A" w:rsidP="009B5B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9">
    <w:p w14:paraId="248C5D7A" w14:textId="3E349F8C" w:rsidR="009B5B1A" w:rsidRPr="00C149B2" w:rsidRDefault="009B5B1A" w:rsidP="009B5B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456CF">
        <w:rPr>
          <w:rFonts w:cstheme="minorHAnsi"/>
        </w:rPr>
        <w:t>Peraturan</w:t>
      </w:r>
      <w:proofErr w:type="spellEnd"/>
      <w:r w:rsidRPr="00E456CF">
        <w:rPr>
          <w:rFonts w:cstheme="minorHAnsi"/>
        </w:rPr>
        <w:t xml:space="preserve"> </w:t>
      </w:r>
      <w:proofErr w:type="spellStart"/>
      <w:r w:rsidRPr="00E456CF">
        <w:rPr>
          <w:rFonts w:cstheme="minorHAnsi"/>
        </w:rPr>
        <w:t>Presiden</w:t>
      </w:r>
      <w:proofErr w:type="spellEnd"/>
      <w:r w:rsidRPr="00E456CF">
        <w:rPr>
          <w:rFonts w:cstheme="minorHAnsi"/>
        </w:rPr>
        <w:t xml:space="preserve"> </w:t>
      </w:r>
      <w:proofErr w:type="spellStart"/>
      <w:r w:rsidRPr="00E456CF">
        <w:rPr>
          <w:rFonts w:cstheme="minorHAnsi"/>
        </w:rPr>
        <w:t>Nomor</w:t>
      </w:r>
      <w:proofErr w:type="spellEnd"/>
      <w:r w:rsidRPr="00E456CF">
        <w:rPr>
          <w:rFonts w:cstheme="minorHAnsi"/>
        </w:rPr>
        <w:t xml:space="preserve"> 75 </w:t>
      </w:r>
      <w:proofErr w:type="spellStart"/>
      <w:r w:rsidRPr="00E456CF">
        <w:rPr>
          <w:rFonts w:cstheme="minorHAnsi"/>
        </w:rPr>
        <w:t>Tahun</w:t>
      </w:r>
      <w:proofErr w:type="spellEnd"/>
      <w:r w:rsidRPr="00E456CF">
        <w:rPr>
          <w:rFonts w:cstheme="minorHAnsi"/>
        </w:rPr>
        <w:t xml:space="preserve"> 2014, </w:t>
      </w:r>
      <w:proofErr w:type="spellStart"/>
      <w:r w:rsidRPr="00E456CF">
        <w:rPr>
          <w:rFonts w:cstheme="minorHAnsi"/>
        </w:rPr>
        <w:t>Pasal</w:t>
      </w:r>
      <w:proofErr w:type="spellEnd"/>
      <w:r w:rsidRPr="00E456CF">
        <w:rPr>
          <w:rFonts w:cstheme="minorHAnsi"/>
        </w:rPr>
        <w:t xml:space="preserve"> </w:t>
      </w:r>
      <w:r>
        <w:rPr>
          <w:rFonts w:cstheme="minorHAnsi"/>
        </w:rPr>
        <w:t>6</w:t>
      </w:r>
      <w:bookmarkStart w:id="0" w:name="_GoBack"/>
      <w:bookmarkEnd w:id="0"/>
    </w:p>
  </w:footnote>
  <w:footnote w:id="10">
    <w:p w14:paraId="37EAC9F8" w14:textId="77777777" w:rsidR="009B5B1A" w:rsidRPr="00C149B2" w:rsidRDefault="009B5B1A" w:rsidP="009B5B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11">
    <w:p w14:paraId="4552EEDC" w14:textId="77777777" w:rsidR="009B5B1A" w:rsidRPr="00C149B2" w:rsidRDefault="009B5B1A" w:rsidP="009B5B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12">
    <w:p w14:paraId="19A23781" w14:textId="77777777" w:rsidR="009B5B1A" w:rsidRPr="00C149B2" w:rsidRDefault="009B5B1A" w:rsidP="009B5B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13">
    <w:p w14:paraId="7F381192" w14:textId="77777777" w:rsidR="009B5B1A" w:rsidRPr="00C149B2" w:rsidRDefault="009B5B1A" w:rsidP="009B5B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14">
    <w:p w14:paraId="250719B5" w14:textId="77777777" w:rsidR="009B5B1A" w:rsidRPr="00C149B2" w:rsidRDefault="009B5B1A" w:rsidP="009B5B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15">
    <w:p w14:paraId="1C71FE69" w14:textId="77777777" w:rsidR="009B5B1A" w:rsidRPr="00C149B2" w:rsidRDefault="009B5B1A" w:rsidP="009B5B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Calibri" w:hAnsi="Calibri" w:cs="Calibri"/>
        </w:rPr>
        <w:t>Peraturan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Presiden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Nomor</w:t>
      </w:r>
      <w:proofErr w:type="spellEnd"/>
      <w:r>
        <w:rPr>
          <w:rFonts w:ascii="Calibri" w:hAnsi="Calibri" w:cs="Calibri"/>
        </w:rPr>
        <w:t xml:space="preserve"> 75 </w:t>
      </w:r>
      <w:proofErr w:type="spellStart"/>
      <w:r>
        <w:rPr>
          <w:rFonts w:ascii="Calibri" w:hAnsi="Calibri" w:cs="Calibri"/>
        </w:rPr>
        <w:t>Tahun</w:t>
      </w:r>
      <w:proofErr w:type="spellEnd"/>
      <w:r>
        <w:rPr>
          <w:rFonts w:ascii="Calibri" w:hAnsi="Calibri" w:cs="Calibri"/>
        </w:rPr>
        <w:t xml:space="preserve"> 2014 </w:t>
      </w:r>
      <w:proofErr w:type="spellStart"/>
      <w:r>
        <w:rPr>
          <w:rFonts w:ascii="Calibri" w:hAnsi="Calibri" w:cs="Calibri"/>
        </w:rPr>
        <w:t>Pasal</w:t>
      </w:r>
      <w:proofErr w:type="spellEnd"/>
      <w:r>
        <w:rPr>
          <w:rFonts w:ascii="Calibri" w:hAnsi="Calibri" w:cs="Calibri"/>
        </w:rPr>
        <w:t xml:space="preserve"> 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0361"/>
    <w:multiLevelType w:val="hybridMultilevel"/>
    <w:tmpl w:val="061E01FE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D0078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641B"/>
    <w:multiLevelType w:val="hybridMultilevel"/>
    <w:tmpl w:val="BCF8216C"/>
    <w:lvl w:ilvl="0" w:tplc="930CA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E152AE"/>
    <w:multiLevelType w:val="hybridMultilevel"/>
    <w:tmpl w:val="9432B6E6"/>
    <w:lvl w:ilvl="0" w:tplc="73B69E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BFA31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C3F6B"/>
    <w:multiLevelType w:val="hybridMultilevel"/>
    <w:tmpl w:val="292858E0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D6D6B"/>
    <w:multiLevelType w:val="hybridMultilevel"/>
    <w:tmpl w:val="CDE0B6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81FC5"/>
    <w:multiLevelType w:val="hybridMultilevel"/>
    <w:tmpl w:val="FB14C38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31C8A"/>
    <w:multiLevelType w:val="hybridMultilevel"/>
    <w:tmpl w:val="99F6EDE8"/>
    <w:lvl w:ilvl="0" w:tplc="8ABCF30C">
      <w:start w:val="1"/>
      <w:numFmt w:val="decimal"/>
      <w:lvlText w:val="(%1)"/>
      <w:lvlJc w:val="left"/>
      <w:pPr>
        <w:ind w:left="820" w:hanging="4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C21"/>
    <w:multiLevelType w:val="hybridMultilevel"/>
    <w:tmpl w:val="4364AB54"/>
    <w:lvl w:ilvl="0" w:tplc="C28E7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E6229"/>
    <w:multiLevelType w:val="hybridMultilevel"/>
    <w:tmpl w:val="395AAD2C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91A2E"/>
    <w:multiLevelType w:val="hybridMultilevel"/>
    <w:tmpl w:val="29261C98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6FE81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126B4"/>
    <w:multiLevelType w:val="hybridMultilevel"/>
    <w:tmpl w:val="3E026674"/>
    <w:lvl w:ilvl="0" w:tplc="5368163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42DF5"/>
    <w:multiLevelType w:val="hybridMultilevel"/>
    <w:tmpl w:val="B2AAC4BA"/>
    <w:lvl w:ilvl="0" w:tplc="4D2E3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00730C"/>
    <w:multiLevelType w:val="hybridMultilevel"/>
    <w:tmpl w:val="1E5279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0BA20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F5A7E"/>
    <w:multiLevelType w:val="hybridMultilevel"/>
    <w:tmpl w:val="C188F2D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A3AFC"/>
    <w:multiLevelType w:val="hybridMultilevel"/>
    <w:tmpl w:val="E174C7A0"/>
    <w:lvl w:ilvl="0" w:tplc="05D65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E1F29"/>
    <w:multiLevelType w:val="hybridMultilevel"/>
    <w:tmpl w:val="2BF0EB6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21FB5"/>
    <w:multiLevelType w:val="hybridMultilevel"/>
    <w:tmpl w:val="499441D8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26C52"/>
    <w:multiLevelType w:val="hybridMultilevel"/>
    <w:tmpl w:val="C0B683A0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315EC"/>
    <w:multiLevelType w:val="hybridMultilevel"/>
    <w:tmpl w:val="948C3180"/>
    <w:lvl w:ilvl="0" w:tplc="30F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71B35"/>
    <w:multiLevelType w:val="hybridMultilevel"/>
    <w:tmpl w:val="B2923684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20E7D"/>
    <w:multiLevelType w:val="hybridMultilevel"/>
    <w:tmpl w:val="E9841D5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0534A"/>
    <w:multiLevelType w:val="hybridMultilevel"/>
    <w:tmpl w:val="D916E0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37239"/>
    <w:multiLevelType w:val="hybridMultilevel"/>
    <w:tmpl w:val="9946AFF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30C37"/>
    <w:multiLevelType w:val="hybridMultilevel"/>
    <w:tmpl w:val="92D2FA42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85D0A"/>
    <w:multiLevelType w:val="hybridMultilevel"/>
    <w:tmpl w:val="A92A1AFA"/>
    <w:lvl w:ilvl="0" w:tplc="C6203E4E">
      <w:start w:val="1"/>
      <w:numFmt w:val="decimal"/>
      <w:lvlText w:val="(%1)"/>
      <w:lvlJc w:val="left"/>
      <w:pPr>
        <w:ind w:left="880" w:hanging="5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B3898"/>
    <w:multiLevelType w:val="hybridMultilevel"/>
    <w:tmpl w:val="B01A85A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72D95"/>
    <w:multiLevelType w:val="hybridMultilevel"/>
    <w:tmpl w:val="DE96CDA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F774C"/>
    <w:multiLevelType w:val="hybridMultilevel"/>
    <w:tmpl w:val="CEF0875C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76C40"/>
    <w:multiLevelType w:val="hybridMultilevel"/>
    <w:tmpl w:val="8076AB0E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F59D4"/>
    <w:multiLevelType w:val="hybridMultilevel"/>
    <w:tmpl w:val="71A41C3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14BDE"/>
    <w:multiLevelType w:val="hybridMultilevel"/>
    <w:tmpl w:val="B726CE1E"/>
    <w:lvl w:ilvl="0" w:tplc="E46217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DF2739"/>
    <w:multiLevelType w:val="hybridMultilevel"/>
    <w:tmpl w:val="21FC04BA"/>
    <w:lvl w:ilvl="0" w:tplc="BDCA6834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22873"/>
    <w:multiLevelType w:val="hybridMultilevel"/>
    <w:tmpl w:val="DDAC8B1E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3456F"/>
    <w:multiLevelType w:val="hybridMultilevel"/>
    <w:tmpl w:val="E8686DBA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B082C"/>
    <w:multiLevelType w:val="hybridMultilevel"/>
    <w:tmpl w:val="48183EB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B584F65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51A1A"/>
    <w:multiLevelType w:val="hybridMultilevel"/>
    <w:tmpl w:val="6F0C9A04"/>
    <w:lvl w:ilvl="0" w:tplc="81D07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23FBF"/>
    <w:multiLevelType w:val="hybridMultilevel"/>
    <w:tmpl w:val="985EC274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05050"/>
    <w:multiLevelType w:val="hybridMultilevel"/>
    <w:tmpl w:val="9EA6D5B2"/>
    <w:lvl w:ilvl="0" w:tplc="D5BAD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DC15B1"/>
    <w:multiLevelType w:val="hybridMultilevel"/>
    <w:tmpl w:val="D35272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A37E1"/>
    <w:multiLevelType w:val="hybridMultilevel"/>
    <w:tmpl w:val="D5E8E32C"/>
    <w:lvl w:ilvl="0" w:tplc="E39ED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86091A"/>
    <w:multiLevelType w:val="hybridMultilevel"/>
    <w:tmpl w:val="E1260C8A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8AA829C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127AD"/>
    <w:multiLevelType w:val="hybridMultilevel"/>
    <w:tmpl w:val="89448DBC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534AD"/>
    <w:multiLevelType w:val="hybridMultilevel"/>
    <w:tmpl w:val="7F9286D6"/>
    <w:lvl w:ilvl="0" w:tplc="D4CC1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D1321E"/>
    <w:multiLevelType w:val="hybridMultilevel"/>
    <w:tmpl w:val="23BEACAC"/>
    <w:lvl w:ilvl="0" w:tplc="1E2E4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E51EE5"/>
    <w:multiLevelType w:val="hybridMultilevel"/>
    <w:tmpl w:val="0D5E2DD6"/>
    <w:lvl w:ilvl="0" w:tplc="9A34327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8"/>
  </w:num>
  <w:num w:numId="3">
    <w:abstractNumId w:val="18"/>
  </w:num>
  <w:num w:numId="4">
    <w:abstractNumId w:val="22"/>
  </w:num>
  <w:num w:numId="5">
    <w:abstractNumId w:val="26"/>
  </w:num>
  <w:num w:numId="6">
    <w:abstractNumId w:val="19"/>
  </w:num>
  <w:num w:numId="7">
    <w:abstractNumId w:val="17"/>
  </w:num>
  <w:num w:numId="8">
    <w:abstractNumId w:val="6"/>
  </w:num>
  <w:num w:numId="9">
    <w:abstractNumId w:val="16"/>
  </w:num>
  <w:num w:numId="10">
    <w:abstractNumId w:val="27"/>
  </w:num>
  <w:num w:numId="11">
    <w:abstractNumId w:val="3"/>
  </w:num>
  <w:num w:numId="12">
    <w:abstractNumId w:val="41"/>
  </w:num>
  <w:num w:numId="13">
    <w:abstractNumId w:val="24"/>
  </w:num>
  <w:num w:numId="14">
    <w:abstractNumId w:val="15"/>
  </w:num>
  <w:num w:numId="15">
    <w:abstractNumId w:val="33"/>
  </w:num>
  <w:num w:numId="16">
    <w:abstractNumId w:val="9"/>
  </w:num>
  <w:num w:numId="17">
    <w:abstractNumId w:val="23"/>
  </w:num>
  <w:num w:numId="18">
    <w:abstractNumId w:val="28"/>
  </w:num>
  <w:num w:numId="19">
    <w:abstractNumId w:val="8"/>
  </w:num>
  <w:num w:numId="20">
    <w:abstractNumId w:val="44"/>
  </w:num>
  <w:num w:numId="21">
    <w:abstractNumId w:val="32"/>
  </w:num>
  <w:num w:numId="22">
    <w:abstractNumId w:val="31"/>
  </w:num>
  <w:num w:numId="23">
    <w:abstractNumId w:val="29"/>
  </w:num>
  <w:num w:numId="24">
    <w:abstractNumId w:val="35"/>
  </w:num>
  <w:num w:numId="25">
    <w:abstractNumId w:val="34"/>
  </w:num>
  <w:num w:numId="26">
    <w:abstractNumId w:val="20"/>
  </w:num>
  <w:num w:numId="27">
    <w:abstractNumId w:val="36"/>
  </w:num>
  <w:num w:numId="28">
    <w:abstractNumId w:val="0"/>
  </w:num>
  <w:num w:numId="29">
    <w:abstractNumId w:val="40"/>
  </w:num>
  <w:num w:numId="30">
    <w:abstractNumId w:val="13"/>
  </w:num>
  <w:num w:numId="31">
    <w:abstractNumId w:val="14"/>
  </w:num>
  <w:num w:numId="32">
    <w:abstractNumId w:val="30"/>
  </w:num>
  <w:num w:numId="33">
    <w:abstractNumId w:val="11"/>
  </w:num>
  <w:num w:numId="34">
    <w:abstractNumId w:val="1"/>
  </w:num>
  <w:num w:numId="35">
    <w:abstractNumId w:val="7"/>
  </w:num>
  <w:num w:numId="36">
    <w:abstractNumId w:val="39"/>
  </w:num>
  <w:num w:numId="37">
    <w:abstractNumId w:val="42"/>
  </w:num>
  <w:num w:numId="38">
    <w:abstractNumId w:val="37"/>
  </w:num>
  <w:num w:numId="39">
    <w:abstractNumId w:val="43"/>
  </w:num>
  <w:num w:numId="40">
    <w:abstractNumId w:val="2"/>
  </w:num>
  <w:num w:numId="41">
    <w:abstractNumId w:val="25"/>
  </w:num>
  <w:num w:numId="42">
    <w:abstractNumId w:val="4"/>
  </w:num>
  <w:num w:numId="43">
    <w:abstractNumId w:val="5"/>
  </w:num>
  <w:num w:numId="44">
    <w:abstractNumId w:val="12"/>
  </w:num>
  <w:num w:numId="4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23"/>
    <w:rsid w:val="00064569"/>
    <w:rsid w:val="00073285"/>
    <w:rsid w:val="000773FE"/>
    <w:rsid w:val="000842A0"/>
    <w:rsid w:val="00084429"/>
    <w:rsid w:val="00095706"/>
    <w:rsid w:val="000B6567"/>
    <w:rsid w:val="000D04A5"/>
    <w:rsid w:val="000F0EF6"/>
    <w:rsid w:val="001103BE"/>
    <w:rsid w:val="00113FE0"/>
    <w:rsid w:val="00121414"/>
    <w:rsid w:val="00127D6D"/>
    <w:rsid w:val="00146C62"/>
    <w:rsid w:val="0016164F"/>
    <w:rsid w:val="001639A6"/>
    <w:rsid w:val="00180C9C"/>
    <w:rsid w:val="001A20DD"/>
    <w:rsid w:val="001C53D5"/>
    <w:rsid w:val="001E287B"/>
    <w:rsid w:val="001E2D45"/>
    <w:rsid w:val="001F100B"/>
    <w:rsid w:val="0021190A"/>
    <w:rsid w:val="00251128"/>
    <w:rsid w:val="0025239B"/>
    <w:rsid w:val="002804A5"/>
    <w:rsid w:val="00293C56"/>
    <w:rsid w:val="002A224A"/>
    <w:rsid w:val="002A4F02"/>
    <w:rsid w:val="002B3789"/>
    <w:rsid w:val="002B781C"/>
    <w:rsid w:val="002C2B7C"/>
    <w:rsid w:val="002D0563"/>
    <w:rsid w:val="002D1A60"/>
    <w:rsid w:val="002D1C69"/>
    <w:rsid w:val="002D5EFD"/>
    <w:rsid w:val="002D78EF"/>
    <w:rsid w:val="002E0D79"/>
    <w:rsid w:val="00312EC8"/>
    <w:rsid w:val="00336A66"/>
    <w:rsid w:val="00343A70"/>
    <w:rsid w:val="00360E04"/>
    <w:rsid w:val="00364447"/>
    <w:rsid w:val="00364512"/>
    <w:rsid w:val="0037028F"/>
    <w:rsid w:val="003711A0"/>
    <w:rsid w:val="00393CFB"/>
    <w:rsid w:val="003B0BFA"/>
    <w:rsid w:val="003B44CD"/>
    <w:rsid w:val="003C73F4"/>
    <w:rsid w:val="003E3B25"/>
    <w:rsid w:val="003E4F10"/>
    <w:rsid w:val="003F46AD"/>
    <w:rsid w:val="004021A9"/>
    <w:rsid w:val="00405DDE"/>
    <w:rsid w:val="0040793D"/>
    <w:rsid w:val="0045327E"/>
    <w:rsid w:val="00456FE7"/>
    <w:rsid w:val="00475EB4"/>
    <w:rsid w:val="0048295C"/>
    <w:rsid w:val="004843AB"/>
    <w:rsid w:val="0048568A"/>
    <w:rsid w:val="004949D9"/>
    <w:rsid w:val="0049546E"/>
    <w:rsid w:val="004F3C63"/>
    <w:rsid w:val="005074C1"/>
    <w:rsid w:val="00511C2C"/>
    <w:rsid w:val="0051505E"/>
    <w:rsid w:val="00521ED7"/>
    <w:rsid w:val="005236AF"/>
    <w:rsid w:val="005333D4"/>
    <w:rsid w:val="00533932"/>
    <w:rsid w:val="00536391"/>
    <w:rsid w:val="00557EAD"/>
    <w:rsid w:val="00585DB1"/>
    <w:rsid w:val="0059312A"/>
    <w:rsid w:val="0059680E"/>
    <w:rsid w:val="005A27C0"/>
    <w:rsid w:val="005A7F7E"/>
    <w:rsid w:val="005B1E7A"/>
    <w:rsid w:val="005C7974"/>
    <w:rsid w:val="005E287B"/>
    <w:rsid w:val="00603BC0"/>
    <w:rsid w:val="00640E08"/>
    <w:rsid w:val="0067459A"/>
    <w:rsid w:val="006C19C4"/>
    <w:rsid w:val="006E4FCA"/>
    <w:rsid w:val="00705DB1"/>
    <w:rsid w:val="00711746"/>
    <w:rsid w:val="00717B50"/>
    <w:rsid w:val="00721AF9"/>
    <w:rsid w:val="00724844"/>
    <w:rsid w:val="00725B46"/>
    <w:rsid w:val="007311F8"/>
    <w:rsid w:val="007440D2"/>
    <w:rsid w:val="007455E2"/>
    <w:rsid w:val="00751D36"/>
    <w:rsid w:val="007728E5"/>
    <w:rsid w:val="00774907"/>
    <w:rsid w:val="007767C6"/>
    <w:rsid w:val="00791D34"/>
    <w:rsid w:val="007B10E9"/>
    <w:rsid w:val="007C3DA8"/>
    <w:rsid w:val="007D0299"/>
    <w:rsid w:val="007E646B"/>
    <w:rsid w:val="007F112B"/>
    <w:rsid w:val="007F6B03"/>
    <w:rsid w:val="00813FCB"/>
    <w:rsid w:val="00816B29"/>
    <w:rsid w:val="00826337"/>
    <w:rsid w:val="00830B05"/>
    <w:rsid w:val="008355FF"/>
    <w:rsid w:val="008362E5"/>
    <w:rsid w:val="00843380"/>
    <w:rsid w:val="0084413D"/>
    <w:rsid w:val="008753A3"/>
    <w:rsid w:val="008771AF"/>
    <w:rsid w:val="00880CF0"/>
    <w:rsid w:val="00881FA2"/>
    <w:rsid w:val="00897B7A"/>
    <w:rsid w:val="008A7EAE"/>
    <w:rsid w:val="008B2146"/>
    <w:rsid w:val="008C29A4"/>
    <w:rsid w:val="008D78F3"/>
    <w:rsid w:val="008E06A2"/>
    <w:rsid w:val="008F2E11"/>
    <w:rsid w:val="008F3D4F"/>
    <w:rsid w:val="0090565C"/>
    <w:rsid w:val="009069A0"/>
    <w:rsid w:val="009104B9"/>
    <w:rsid w:val="009114FE"/>
    <w:rsid w:val="009155AF"/>
    <w:rsid w:val="009434FA"/>
    <w:rsid w:val="00962A1B"/>
    <w:rsid w:val="00970D1A"/>
    <w:rsid w:val="009A2023"/>
    <w:rsid w:val="009B274E"/>
    <w:rsid w:val="009B4EA7"/>
    <w:rsid w:val="009B5B1A"/>
    <w:rsid w:val="009D21B1"/>
    <w:rsid w:val="009E6538"/>
    <w:rsid w:val="009E6928"/>
    <w:rsid w:val="009F4679"/>
    <w:rsid w:val="009F6352"/>
    <w:rsid w:val="00A03965"/>
    <w:rsid w:val="00A20228"/>
    <w:rsid w:val="00A22CFB"/>
    <w:rsid w:val="00A325CB"/>
    <w:rsid w:val="00A41524"/>
    <w:rsid w:val="00A41550"/>
    <w:rsid w:val="00A6411B"/>
    <w:rsid w:val="00A66D4D"/>
    <w:rsid w:val="00AA433B"/>
    <w:rsid w:val="00AA541B"/>
    <w:rsid w:val="00AB50F7"/>
    <w:rsid w:val="00AC36D1"/>
    <w:rsid w:val="00AD6D66"/>
    <w:rsid w:val="00AD7F1E"/>
    <w:rsid w:val="00AE1DF4"/>
    <w:rsid w:val="00AF5BBE"/>
    <w:rsid w:val="00B0048D"/>
    <w:rsid w:val="00B16259"/>
    <w:rsid w:val="00B226B0"/>
    <w:rsid w:val="00B252AC"/>
    <w:rsid w:val="00B30C5F"/>
    <w:rsid w:val="00B31D79"/>
    <w:rsid w:val="00B340CE"/>
    <w:rsid w:val="00B372C8"/>
    <w:rsid w:val="00B40FC7"/>
    <w:rsid w:val="00B444CE"/>
    <w:rsid w:val="00B44D3A"/>
    <w:rsid w:val="00B47781"/>
    <w:rsid w:val="00B57174"/>
    <w:rsid w:val="00B62C9F"/>
    <w:rsid w:val="00B655A9"/>
    <w:rsid w:val="00B77243"/>
    <w:rsid w:val="00B80F8F"/>
    <w:rsid w:val="00B83E03"/>
    <w:rsid w:val="00BB0280"/>
    <w:rsid w:val="00BC327E"/>
    <w:rsid w:val="00BD2948"/>
    <w:rsid w:val="00BE0B23"/>
    <w:rsid w:val="00BE5EF5"/>
    <w:rsid w:val="00BF3BEB"/>
    <w:rsid w:val="00C010E2"/>
    <w:rsid w:val="00C0238F"/>
    <w:rsid w:val="00C102A3"/>
    <w:rsid w:val="00C108F9"/>
    <w:rsid w:val="00C35B85"/>
    <w:rsid w:val="00C43631"/>
    <w:rsid w:val="00C45DC7"/>
    <w:rsid w:val="00C655F1"/>
    <w:rsid w:val="00C67F5A"/>
    <w:rsid w:val="00C87B5A"/>
    <w:rsid w:val="00C97220"/>
    <w:rsid w:val="00CB2803"/>
    <w:rsid w:val="00CB6753"/>
    <w:rsid w:val="00CD458C"/>
    <w:rsid w:val="00CF2E53"/>
    <w:rsid w:val="00CF329E"/>
    <w:rsid w:val="00D02ED8"/>
    <w:rsid w:val="00D2268C"/>
    <w:rsid w:val="00D32EB2"/>
    <w:rsid w:val="00D36025"/>
    <w:rsid w:val="00D47168"/>
    <w:rsid w:val="00D5592A"/>
    <w:rsid w:val="00D5667B"/>
    <w:rsid w:val="00D60AA7"/>
    <w:rsid w:val="00D617BA"/>
    <w:rsid w:val="00D86C14"/>
    <w:rsid w:val="00D911B1"/>
    <w:rsid w:val="00D95A89"/>
    <w:rsid w:val="00DA1062"/>
    <w:rsid w:val="00DA41B3"/>
    <w:rsid w:val="00DC4BC2"/>
    <w:rsid w:val="00DD3F24"/>
    <w:rsid w:val="00DD6A2A"/>
    <w:rsid w:val="00DF1116"/>
    <w:rsid w:val="00E011B8"/>
    <w:rsid w:val="00E02E62"/>
    <w:rsid w:val="00E23458"/>
    <w:rsid w:val="00E25C52"/>
    <w:rsid w:val="00E3144E"/>
    <w:rsid w:val="00E33EB4"/>
    <w:rsid w:val="00E34A31"/>
    <w:rsid w:val="00E370CB"/>
    <w:rsid w:val="00E41A23"/>
    <w:rsid w:val="00E51597"/>
    <w:rsid w:val="00E607D6"/>
    <w:rsid w:val="00E66F7E"/>
    <w:rsid w:val="00E76517"/>
    <w:rsid w:val="00E90C86"/>
    <w:rsid w:val="00E961A6"/>
    <w:rsid w:val="00EA6B6F"/>
    <w:rsid w:val="00EB0014"/>
    <w:rsid w:val="00EB3DD4"/>
    <w:rsid w:val="00EE03E7"/>
    <w:rsid w:val="00F1149F"/>
    <w:rsid w:val="00F26278"/>
    <w:rsid w:val="00F352AB"/>
    <w:rsid w:val="00F4332A"/>
    <w:rsid w:val="00F5138D"/>
    <w:rsid w:val="00F73F0D"/>
    <w:rsid w:val="00F74E03"/>
    <w:rsid w:val="00F80F3A"/>
    <w:rsid w:val="00FA6C94"/>
    <w:rsid w:val="00FB269C"/>
    <w:rsid w:val="00FD3EAB"/>
    <w:rsid w:val="00FE15FD"/>
    <w:rsid w:val="00FE2A65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261E"/>
  <w15:chartTrackingRefBased/>
  <w15:docId w15:val="{C45F079A-4A23-45F6-9510-43844744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1A"/>
    <w:rPr>
      <w:lang w:val="en-ID"/>
    </w:rPr>
  </w:style>
  <w:style w:type="paragraph" w:styleId="Heading1">
    <w:name w:val="heading 1"/>
    <w:basedOn w:val="Normal"/>
    <w:link w:val="Heading1Char"/>
    <w:uiPriority w:val="9"/>
    <w:qFormat/>
    <w:rsid w:val="00E41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A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4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5B46"/>
    <w:rPr>
      <w:color w:val="0563C1" w:themeColor="hyperlink"/>
      <w:u w:val="single"/>
    </w:rPr>
  </w:style>
  <w:style w:type="paragraph" w:customStyle="1" w:styleId="Default">
    <w:name w:val="Default"/>
    <w:rsid w:val="00405DD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05D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4569"/>
    <w:rPr>
      <w:b/>
      <w:bCs/>
    </w:rPr>
  </w:style>
  <w:style w:type="character" w:styleId="Emphasis">
    <w:name w:val="Emphasis"/>
    <w:basedOn w:val="DefaultParagraphFont"/>
    <w:uiPriority w:val="20"/>
    <w:qFormat/>
    <w:rsid w:val="00064569"/>
    <w:rPr>
      <w:i/>
      <w:iCs/>
    </w:rPr>
  </w:style>
  <w:style w:type="character" w:customStyle="1" w:styleId="share-button-link-text">
    <w:name w:val="share-button-link-text"/>
    <w:basedOn w:val="DefaultParagraphFont"/>
    <w:rsid w:val="002E0D7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C6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655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03"/>
  </w:style>
  <w:style w:type="paragraph" w:styleId="Footer">
    <w:name w:val="footer"/>
    <w:basedOn w:val="Normal"/>
    <w:link w:val="Foot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03"/>
  </w:style>
  <w:style w:type="character" w:customStyle="1" w:styleId="ListParagraphChar">
    <w:name w:val="List Paragraph Char"/>
    <w:link w:val="ListParagraph"/>
    <w:uiPriority w:val="34"/>
    <w:rsid w:val="009B274E"/>
  </w:style>
  <w:style w:type="paragraph" w:styleId="BalloonText">
    <w:name w:val="Balloon Text"/>
    <w:basedOn w:val="Normal"/>
    <w:link w:val="BalloonTextChar"/>
    <w:uiPriority w:val="99"/>
    <w:semiHidden/>
    <w:unhideWhenUsed/>
    <w:rsid w:val="0025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28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5B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2E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E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EF6"/>
    <w:rPr>
      <w:sz w:val="20"/>
      <w:szCs w:val="20"/>
      <w:lang w:val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0F0E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6547">
          <w:marLeft w:val="0"/>
          <w:marRight w:val="0"/>
          <w:marTop w:val="600"/>
          <w:marBottom w:val="18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7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763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823">
          <w:marLeft w:val="45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73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095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769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914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390">
          <w:marLeft w:val="88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98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77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04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ntaranews.com/berita/1363854/kementerian-pupr-harapkan-konstruksi-jalan-mandalika-mulai-mei-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arantb.com/ntb/2020/290602/Konstruksi.Jalan.ke.Kawasan.Mandalika.Dimulai.Me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73DC-299D-4C08-B155-4C2465EE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Witdya Pangestika</cp:lastModifiedBy>
  <cp:revision>2</cp:revision>
  <cp:lastPrinted>2019-12-03T07:00:00Z</cp:lastPrinted>
  <dcterms:created xsi:type="dcterms:W3CDTF">2020-03-20T08:25:00Z</dcterms:created>
  <dcterms:modified xsi:type="dcterms:W3CDTF">2020-03-20T08:25:00Z</dcterms:modified>
</cp:coreProperties>
</file>