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C22C" w14:textId="2AF193D0" w:rsidR="001919EE" w:rsidRDefault="001919EE" w:rsidP="00337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725">
        <w:rPr>
          <w:rFonts w:ascii="Times New Roman" w:hAnsi="Times New Roman" w:cs="Times New Roman"/>
          <w:b/>
          <w:bCs/>
          <w:sz w:val="24"/>
          <w:szCs w:val="24"/>
        </w:rPr>
        <w:t>PEMUTUSAN KERJASAMA PEMPROV NTB DAN GTI BERPROSES</w:t>
      </w:r>
    </w:p>
    <w:p w14:paraId="10C05B3F" w14:textId="77777777" w:rsidR="00337725" w:rsidRPr="00337725" w:rsidRDefault="00337725" w:rsidP="00337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0F667" w14:textId="2DC28A4E" w:rsidR="00337725" w:rsidRDefault="00337725" w:rsidP="003377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BF8777" wp14:editId="02EA35E4">
            <wp:extent cx="3629026" cy="2415540"/>
            <wp:effectExtent l="0" t="0" r="9525" b="3810"/>
            <wp:docPr id="2" name="Picture 2" descr="Image result for pt gili trawangan in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t gili trawangan ind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58" cy="24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A668" w14:textId="2E22D7CB" w:rsidR="00337725" w:rsidRDefault="00337725" w:rsidP="003377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https://redaksinews.co/</w:t>
        </w:r>
      </w:hyperlink>
    </w:p>
    <w:p w14:paraId="002C2B41" w14:textId="77777777" w:rsidR="00337725" w:rsidRPr="001919EE" w:rsidRDefault="00337725" w:rsidP="001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BD2A" w14:textId="77777777" w:rsidR="00337725" w:rsidRDefault="001919EE" w:rsidP="003377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</w:t>
      </w:r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Pemutusan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pemanfaatan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 Gili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Trawangan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Indah (GTI)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berproses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melayangkan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GTI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seluas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65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ditandatangani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24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 GTI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diputus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berpeluang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mengelola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investasi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tujuan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wisatawan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mancanegara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Kita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harapkan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dikelola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). ‘’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harapannya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Tugas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Plt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Badan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(BPKAD) NTB,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Drs.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Zainul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Islam, MM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dikonfirmasi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13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10D2FBD7" w14:textId="573E6F1A" w:rsidR="001919EE" w:rsidRPr="001919EE" w:rsidRDefault="001919EE" w:rsidP="003377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Mengenai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besaran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kontribusi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Zainul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hitung-hitungannya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diberikan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pengelolaan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berembug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Besaran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kontribusi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memberatkan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merugikan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berdasarkan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hasil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kajian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Komisi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Pemberantasan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(KPK),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potensi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hilang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Gili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Trawangan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mencapai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Rp24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setahun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‘’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tunggu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keputusan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prosedur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,’’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7D979F98" w14:textId="5DA20047" w:rsidR="001919EE" w:rsidRPr="001919EE" w:rsidRDefault="001919EE" w:rsidP="003377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Dari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kajian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teknis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Zainul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tugas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BPKAD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Di mana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dibuat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kesimpulannya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pemanfaatan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Gili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Trawangan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layak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Biro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H. Ruslan Abdul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Gani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SH, MH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menyiapkan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 GTI.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tahapan-tahapan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dilalui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pemutusan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40A41AC9" w14:textId="77777777" w:rsidR="00337725" w:rsidRDefault="001919EE" w:rsidP="00191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ketentuan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Ruslan,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kali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tenggat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tertentu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Apabila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diindahkan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dilayangkan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kedua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Apabila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kedua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diindahkan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dilayangkan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ketiga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terakhir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somasi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ketiga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diindahkan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dasar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memutus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 GTI.</w:t>
      </w:r>
    </w:p>
    <w:p w14:paraId="6926F6AC" w14:textId="4AB8AF20" w:rsidR="001919EE" w:rsidRPr="001919EE" w:rsidRDefault="001919EE" w:rsidP="003377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Diketahui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total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Gili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Trawangan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seluas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75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Seluas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65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diserahkan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PT.GTI dan 10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diserahkan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legal. 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65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diserahkan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 GTI,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80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dikuasai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secara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illegal.</w:t>
      </w:r>
      <w:r w:rsidR="00337725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Aset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berada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Gili </w:t>
      </w:r>
      <w:proofErr w:type="spellStart"/>
      <w:proofErr w:type="gram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Trawangan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dikerjasamakan</w:t>
      </w:r>
      <w:proofErr w:type="spellEnd"/>
      <w:proofErr w:type="gram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PT. GTI 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perjanjian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produksi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1995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jangka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70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Nilai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royalti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diperoleh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per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panjang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22,5 </w:t>
      </w:r>
      <w:proofErr w:type="spellStart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1919EE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</w:p>
    <w:p w14:paraId="16D2127B" w14:textId="2A232F2D" w:rsidR="001919EE" w:rsidRDefault="001919EE" w:rsidP="001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8EF1" w14:textId="1E2B6A85" w:rsidR="00337725" w:rsidRPr="00337725" w:rsidRDefault="00337725" w:rsidP="00191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7725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337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7725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3377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1BC50A" w14:textId="05FE7D82" w:rsidR="001919EE" w:rsidRPr="00337725" w:rsidRDefault="00337725" w:rsidP="00E667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92E3B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https://www.suarantb.com/ntb/2020/290908/Pemutusan.Kerjasama.Pemprov.NTB.dan.GTI.Berproses/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0862C7A2" w14:textId="37C2A777" w:rsidR="001919EE" w:rsidRPr="00337725" w:rsidRDefault="00337725" w:rsidP="00E667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92E3B">
          <w:rPr>
            <w:rStyle w:val="Hyperlink"/>
          </w:rPr>
          <w:t>https://insidelombok.id/berita-utama/sekda-ntb-pemutusan-kontrak-gti-dalam-kajian/</w:t>
        </w:r>
      </w:hyperlink>
    </w:p>
    <w:p w14:paraId="2AA69D04" w14:textId="77777777" w:rsidR="00337725" w:rsidRDefault="00337725" w:rsidP="001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10EFA" w14:textId="77777777" w:rsidR="00812EA5" w:rsidRPr="005D3412" w:rsidRDefault="00812EA5" w:rsidP="00812E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3412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5D3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412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5D34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685773" w14:textId="77777777" w:rsidR="00812EA5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(BMD)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divestasi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36EFAD52" w14:textId="77777777" w:rsidR="00812EA5" w:rsidRPr="009C35B4" w:rsidRDefault="00812EA5" w:rsidP="00812E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8F4C3" w14:textId="77777777" w:rsidR="00812EA5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5532ABBD" w14:textId="77777777" w:rsidR="00812EA5" w:rsidRPr="009C35B4" w:rsidRDefault="00812EA5" w:rsidP="0081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355C4" w14:textId="77777777" w:rsidR="00812EA5" w:rsidRPr="009C35B4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C35B4">
        <w:rPr>
          <w:rFonts w:ascii="Times New Roman" w:hAnsi="Times New Roman" w:cs="Times New Roman"/>
          <w:sz w:val="24"/>
          <w:szCs w:val="24"/>
        </w:rPr>
        <w:t>erupa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792E0D73" w14:textId="77777777" w:rsidR="00812EA5" w:rsidRPr="009C35B4" w:rsidRDefault="00812EA5" w:rsidP="00E667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76C6FF64" w14:textId="77777777" w:rsidR="00812EA5" w:rsidRPr="009C35B4" w:rsidRDefault="00812EA5" w:rsidP="00E667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Pakai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4B40A107" w14:textId="77777777" w:rsidR="00812EA5" w:rsidRPr="009C35B4" w:rsidRDefault="00812EA5" w:rsidP="00E667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(KSP);</w:t>
      </w:r>
    </w:p>
    <w:p w14:paraId="096E7392" w14:textId="77777777" w:rsidR="00812EA5" w:rsidRPr="009C35B4" w:rsidRDefault="00812EA5" w:rsidP="00E667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(BGS)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(BSG);</w:t>
      </w:r>
    </w:p>
    <w:p w14:paraId="6D545C56" w14:textId="77777777" w:rsidR="00812EA5" w:rsidRDefault="00812EA5" w:rsidP="00E667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(KSPI).</w:t>
      </w:r>
    </w:p>
    <w:p w14:paraId="58674734" w14:textId="77777777" w:rsidR="00812EA5" w:rsidRPr="009C35B4" w:rsidRDefault="00812EA5" w:rsidP="00812E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36864" w14:textId="77777777" w:rsidR="00812EA5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22687748" w14:textId="77777777" w:rsidR="00812EA5" w:rsidRPr="009C35B4" w:rsidRDefault="00812EA5" w:rsidP="00812E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4CC6A" w14:textId="77777777" w:rsidR="00812EA5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110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lastRenderedPageBreak/>
        <w:t>pelaksanaan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Barang.Bukti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KSP.</w:t>
      </w:r>
    </w:p>
    <w:p w14:paraId="5F12CE61" w14:textId="77777777" w:rsidR="00812EA5" w:rsidRPr="009C35B4" w:rsidRDefault="00812EA5" w:rsidP="0081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5134" w14:textId="77777777" w:rsidR="00812EA5" w:rsidRPr="009C35B4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422C1C4B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3146525F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71D2DA47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</w:t>
      </w:r>
    </w:p>
    <w:p w14:paraId="410CD8D8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</w:t>
      </w:r>
    </w:p>
    <w:p w14:paraId="24E7A479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4">
        <w:rPr>
          <w:rFonts w:ascii="Times New Roman" w:hAnsi="Times New Roman" w:cs="Times New Roman"/>
          <w:sz w:val="24"/>
          <w:szCs w:val="24"/>
        </w:rPr>
        <w:t xml:space="preserve">Hasil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659D6CCD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</w:t>
      </w:r>
    </w:p>
    <w:p w14:paraId="6363F32D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Waktu KSP</w:t>
      </w:r>
    </w:p>
    <w:p w14:paraId="0C74E51C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mekanisme</w:t>
      </w:r>
      <w:proofErr w:type="spellEnd"/>
    </w:p>
    <w:p w14:paraId="7B861BE4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</w:p>
    <w:p w14:paraId="62E8E6EC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1BEFD78F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</w:t>
      </w:r>
    </w:p>
    <w:p w14:paraId="5B2D4B09" w14:textId="77777777" w:rsidR="00812EA5" w:rsidRPr="009C35B4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 dan</w:t>
      </w:r>
    </w:p>
    <w:p w14:paraId="73A47A0C" w14:textId="77777777" w:rsidR="00812EA5" w:rsidRDefault="00812EA5" w:rsidP="00E667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perselisihan</w:t>
      </w:r>
      <w:proofErr w:type="spellEnd"/>
    </w:p>
    <w:p w14:paraId="07EB2024" w14:textId="77777777" w:rsidR="00812EA5" w:rsidRPr="009C35B4" w:rsidRDefault="00812EA5" w:rsidP="00812E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CA944" w14:textId="77777777" w:rsidR="00812EA5" w:rsidRPr="009C35B4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190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Daerah,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4C368BA4" w14:textId="77777777" w:rsidR="00812EA5" w:rsidRPr="009C35B4" w:rsidRDefault="00812EA5" w:rsidP="00E667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6397E8AB" w14:textId="77777777" w:rsidR="00812EA5" w:rsidRPr="009C35B4" w:rsidRDefault="00812EA5" w:rsidP="00E667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lastRenderedPageBreak/>
        <w:t>pengakhiran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</w:p>
    <w:p w14:paraId="55C5DD02" w14:textId="77777777" w:rsidR="00812EA5" w:rsidRPr="009C35B4" w:rsidRDefault="00812EA5" w:rsidP="00E667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22BC7D5B" w14:textId="77777777" w:rsidR="00812EA5" w:rsidRPr="009C35B4" w:rsidRDefault="00812EA5" w:rsidP="00E667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Pengakhiran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</w:p>
    <w:p w14:paraId="3421C78D" w14:textId="77777777" w:rsidR="00812EA5" w:rsidRPr="009C35B4" w:rsidRDefault="00812EA5" w:rsidP="00E6674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:</w:t>
      </w:r>
    </w:p>
    <w:p w14:paraId="0EF14E9B" w14:textId="77777777" w:rsidR="00812EA5" w:rsidRPr="009C35B4" w:rsidRDefault="00812EA5" w:rsidP="00E66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5A6156BD" w14:textId="77777777" w:rsidR="00812EA5" w:rsidRPr="009C35B4" w:rsidRDefault="00812EA5" w:rsidP="00E66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berturutturut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 dan</w:t>
      </w:r>
    </w:p>
    <w:p w14:paraId="634986F8" w14:textId="77777777" w:rsidR="00812EA5" w:rsidRPr="009C35B4" w:rsidRDefault="00812EA5" w:rsidP="00E66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6CBD108" w14:textId="77777777" w:rsidR="00812EA5" w:rsidRPr="009C35B4" w:rsidRDefault="00812EA5" w:rsidP="00E66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KSP.</w:t>
      </w:r>
    </w:p>
    <w:p w14:paraId="241ED9D4" w14:textId="77777777" w:rsidR="00812EA5" w:rsidRPr="009C35B4" w:rsidRDefault="00812EA5" w:rsidP="00E66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KSP; dan</w:t>
      </w:r>
    </w:p>
    <w:p w14:paraId="4E975D27" w14:textId="77777777" w:rsidR="00812EA5" w:rsidRDefault="00812EA5" w:rsidP="00E667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.</w:t>
      </w:r>
    </w:p>
    <w:p w14:paraId="1FDD716B" w14:textId="77777777" w:rsidR="00812EA5" w:rsidRPr="009C35B4" w:rsidRDefault="00812EA5" w:rsidP="00812EA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4DDF5" w14:textId="77777777" w:rsidR="00812EA5" w:rsidRPr="009C35B4" w:rsidRDefault="00812EA5" w:rsidP="00E667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190 (3) 190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Pengakhiran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KSP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B4">
        <w:rPr>
          <w:rFonts w:ascii="Times New Roman" w:hAnsi="Times New Roman" w:cs="Times New Roman"/>
          <w:sz w:val="24"/>
          <w:szCs w:val="24"/>
        </w:rPr>
        <w:t xml:space="preserve">oleh: </w:t>
      </w:r>
    </w:p>
    <w:p w14:paraId="0BD3A971" w14:textId="77777777" w:rsidR="00812EA5" w:rsidRPr="009C35B4" w:rsidRDefault="00812EA5" w:rsidP="00E6674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>;</w:t>
      </w:r>
    </w:p>
    <w:p w14:paraId="521818AF" w14:textId="77777777" w:rsidR="00812EA5" w:rsidRPr="009C35B4" w:rsidRDefault="00812EA5" w:rsidP="00E6674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C35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5B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77DA1A" w14:textId="77777777" w:rsidR="00812EA5" w:rsidRPr="005D3412" w:rsidRDefault="00812EA5" w:rsidP="0081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D9D4" w14:textId="77777777" w:rsidR="00812EA5" w:rsidRPr="005D3412" w:rsidRDefault="00812EA5" w:rsidP="0081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1919EE" w:rsidRDefault="00E51597" w:rsidP="001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597" w:rsidRPr="001919EE" w:rsidSect="00360E04">
      <w:footerReference w:type="default" r:id="rId12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7CC3" w14:textId="77777777" w:rsidR="00E66749" w:rsidRDefault="00E66749" w:rsidP="00B83E03">
      <w:pPr>
        <w:spacing w:after="0" w:line="240" w:lineRule="auto"/>
      </w:pPr>
      <w:r>
        <w:separator/>
      </w:r>
    </w:p>
  </w:endnote>
  <w:endnote w:type="continuationSeparator" w:id="0">
    <w:p w14:paraId="28C08C87" w14:textId="77777777" w:rsidR="00E66749" w:rsidRDefault="00E66749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1919EE" w:rsidRDefault="001919EE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1919EE" w:rsidRDefault="001919EE" w:rsidP="00FE7E0F">
    <w:pPr>
      <w:pStyle w:val="Footer"/>
    </w:pPr>
  </w:p>
  <w:p w14:paraId="1263416C" w14:textId="77777777" w:rsidR="001919EE" w:rsidRDefault="0019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2FAD" w14:textId="77777777" w:rsidR="00E66749" w:rsidRDefault="00E66749" w:rsidP="00B83E03">
      <w:pPr>
        <w:spacing w:after="0" w:line="240" w:lineRule="auto"/>
      </w:pPr>
      <w:r>
        <w:separator/>
      </w:r>
    </w:p>
  </w:footnote>
  <w:footnote w:type="continuationSeparator" w:id="0">
    <w:p w14:paraId="3D36192D" w14:textId="77777777" w:rsidR="00E66749" w:rsidRDefault="00E66749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5E8"/>
    <w:multiLevelType w:val="hybridMultilevel"/>
    <w:tmpl w:val="6A023C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66B3"/>
    <w:multiLevelType w:val="hybridMultilevel"/>
    <w:tmpl w:val="F01AD6C6"/>
    <w:lvl w:ilvl="0" w:tplc="8456387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867"/>
    <w:multiLevelType w:val="hybridMultilevel"/>
    <w:tmpl w:val="F04079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32A56"/>
    <w:multiLevelType w:val="hybridMultilevel"/>
    <w:tmpl w:val="B94887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7BC"/>
    <w:multiLevelType w:val="hybridMultilevel"/>
    <w:tmpl w:val="85B868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A3F9B"/>
    <w:multiLevelType w:val="hybridMultilevel"/>
    <w:tmpl w:val="C8DC2A0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83C85"/>
    <w:multiLevelType w:val="hybridMultilevel"/>
    <w:tmpl w:val="91DAE564"/>
    <w:lvl w:ilvl="0" w:tplc="D4D6CD4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919EE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37725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2EA5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749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9EE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lombok.id/berita-utama/sekda-ntb-pemutusan-kontrak-gti-dalam-kaji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ntb/2020/290908/Pemutusan.Kerjasama.Pemprov.NTB.dan.GTI.Berpro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aksinews.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BD04-F512-4A05-8A9C-6D583997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2020-03-20T12:20:00Z</dcterms:created>
  <dcterms:modified xsi:type="dcterms:W3CDTF">2020-03-20T12:20:00Z</dcterms:modified>
</cp:coreProperties>
</file>