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B673" w14:textId="419A3406" w:rsidR="006E3CC6" w:rsidRPr="006E3CC6" w:rsidRDefault="006E3CC6" w:rsidP="006E3CC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r w:rsidRPr="006E3CC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PENYIDIK PERIKSA TIGA SAKSI KASUS ASRAMA HAJI</w:t>
      </w:r>
    </w:p>
    <w:p w14:paraId="40B16B3B" w14:textId="77777777" w:rsidR="007B7C44" w:rsidRPr="007B7C44" w:rsidRDefault="007B7C44" w:rsidP="006E3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C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73367" wp14:editId="19D3BF44">
            <wp:extent cx="3359150" cy="22393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93" cy="224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95BD" w14:textId="24C0E183" w:rsidR="007B7C44" w:rsidRDefault="006E3CC6" w:rsidP="006E3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3CC6">
        <w:rPr>
          <w:rFonts w:ascii="Times New Roman" w:hAnsi="Times New Roman" w:cs="Times New Roman"/>
          <w:sz w:val="24"/>
          <w:szCs w:val="24"/>
        </w:rPr>
        <w:t>www.suarantb.com</w:t>
      </w:r>
    </w:p>
    <w:p w14:paraId="5ABBD731" w14:textId="77777777" w:rsidR="006E3CC6" w:rsidRPr="007B7C44" w:rsidRDefault="006E3CC6" w:rsidP="007B7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D522E" w14:textId="50F7CD07" w:rsidR="007B7C44" w:rsidRPr="007B7C44" w:rsidRDefault="007B7C44" w:rsidP="00AE42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AE429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AE429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AE429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AE429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</w:t>
      </w:r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Setelah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resmi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ditingkatkan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Kejaksaan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Tinggi NTB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mulai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memanggil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saksi-saksi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dugaan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Asrama Haji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Embarkasi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orang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dipanggil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dimintai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keterangan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3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</w:t>
      </w:r>
      <w:r w:rsidR="00AE429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Ketika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diperiksa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maraton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siang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Juru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Bicara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Kejati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Dedi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Irawan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gram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SH.,MH</w:t>
      </w:r>
      <w:proofErr w:type="gram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 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pemeriksaan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pertama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kalinya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membutuhkan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keterangan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menguatkan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bukti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mengarah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dugaan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penyimpangan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E4293"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‘’Hari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kemarin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diperiksa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pertama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kalinya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pemeriksaan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naik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Dedi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menyebut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kapasitasnya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UPT Asrama Haji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Embarkasi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62272F70" w14:textId="4D81757C" w:rsidR="007B7C44" w:rsidRPr="007B7C44" w:rsidRDefault="007B7C44" w:rsidP="00AE42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Pemeriksaan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terus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berlanjut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menurutnya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saksi-saksi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penting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dimintai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keterangan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tingkat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Terbuka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kemungkinan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mereka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diperiksa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tingkat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penyelidikan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diperiksa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‘’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Pasti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saksi-saksi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penetapan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tersangka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,’’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menutup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kemungkinan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 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Kejati</w:t>
      </w:r>
      <w:proofErr w:type="spellEnd"/>
      <w:proofErr w:type="gram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libatkan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ahli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menilai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kerugian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negara.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dirinci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apakah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pelibatan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BPK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BPKP.</w:t>
      </w:r>
    </w:p>
    <w:p w14:paraId="62830560" w14:textId="44A05448" w:rsidR="007B7C44" w:rsidRDefault="007B7C44" w:rsidP="00AE42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informasi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diperoleh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diperiksa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kemarin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orang. Salah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bendahara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pengeluaran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UPT Asrama Haji Lombok, IJK.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menjalani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pemeriksaan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siang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kemarin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IJK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diperiksa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Februari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kapasitas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tingkat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penyelidikan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E4293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Ada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item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penyimpanganyang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dibidik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mendalami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Januari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Item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temuan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pertama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rehabilitasi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gedung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bersumber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Badan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Haji (BPKH),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kedua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pemeliharaan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gedung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sumber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Total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Rp7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  Item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Negara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Pajak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(PNBP)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mulai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2017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2019.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poin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ketiga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disimpulkan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nilainya</w:t>
      </w:r>
      <w:proofErr w:type="spellEnd"/>
      <w:r w:rsidRPr="007B7C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7B7C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(</w:t>
      </w:r>
      <w:proofErr w:type="spellStart"/>
      <w:r w:rsidRPr="007B7C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ars</w:t>
      </w:r>
      <w:proofErr w:type="spellEnd"/>
      <w:r w:rsidRPr="007B7C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)</w:t>
      </w:r>
    </w:p>
    <w:p w14:paraId="55CE261F" w14:textId="6099568A" w:rsidR="00AE4293" w:rsidRDefault="00AE4293" w:rsidP="00AE42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</w:p>
    <w:p w14:paraId="7599DFD2" w14:textId="0087CA36" w:rsidR="00AE4293" w:rsidRPr="007B7C44" w:rsidRDefault="00AE4293" w:rsidP="00AE42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</w:p>
    <w:p w14:paraId="54860DBB" w14:textId="5DB2866F" w:rsidR="00AE4293" w:rsidRPr="00AE4293" w:rsidRDefault="007B7C44" w:rsidP="007B7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B7C44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https://www.suarantb.com/hukum.dan.kriminal/2020/289861/Penyidik.Periksa.Tiga.Saksi.Kasus.Asrama.Haji/</w:t>
        </w:r>
      </w:hyperlink>
      <w:r w:rsidR="00AE429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AE429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. </w:t>
      </w:r>
      <w:proofErr w:type="spellStart"/>
      <w:r w:rsidR="00AE4293" w:rsidRPr="00AE4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AE4293" w:rsidRPr="00AE4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="00AE4293" w:rsidRPr="00AE4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="00AE4293" w:rsidRPr="00AE4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21 </w:t>
      </w:r>
      <w:proofErr w:type="spellStart"/>
      <w:r w:rsidR="00AE4293" w:rsidRPr="00AE4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="00AE4293" w:rsidRPr="00AE4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</w:t>
      </w:r>
    </w:p>
    <w:p w14:paraId="4E037176" w14:textId="77777777" w:rsidR="007B7C44" w:rsidRPr="007B7C44" w:rsidRDefault="007B7C44" w:rsidP="007B7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9FBE" w14:textId="6E79343E" w:rsidR="007B7C44" w:rsidRPr="00AE4293" w:rsidRDefault="007B7C44" w:rsidP="007B7C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4293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="00AE4293" w:rsidRPr="00AE4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293" w:rsidRPr="00AE4293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="00AE4293" w:rsidRPr="00AE42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BF15E9" w14:textId="0D8AB08D" w:rsidR="007B7C44" w:rsidRPr="007B7C44" w:rsidRDefault="007B7C44" w:rsidP="007B7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C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LKPP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4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68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6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68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1179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7968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6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7B7C44">
        <w:rPr>
          <w:rFonts w:ascii="Times New Roman" w:hAnsi="Times New Roman" w:cs="Times New Roman"/>
          <w:sz w:val="24"/>
          <w:szCs w:val="24"/>
        </w:rPr>
        <w:t>:</w:t>
      </w:r>
    </w:p>
    <w:p w14:paraId="49B87F09" w14:textId="2F27297B" w:rsidR="007B7C44" w:rsidRPr="00AE4293" w:rsidRDefault="007B7C44" w:rsidP="00AE42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Rugi</w:t>
      </w:r>
      <w:proofErr w:type="spellEnd"/>
    </w:p>
    <w:p w14:paraId="63431B81" w14:textId="7493EC8D" w:rsidR="007B7C44" w:rsidRPr="00AE4293" w:rsidRDefault="007B7C44" w:rsidP="00AE42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AE4293"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="00AE4293"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</w:t>
      </w:r>
      <w:r w:rsidR="00AE4293"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E4293"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audit, dan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AE4293"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.</w:t>
      </w:r>
    </w:p>
    <w:p w14:paraId="5F11B41E" w14:textId="16E9CF1C" w:rsidR="007B7C44" w:rsidRPr="00AE4293" w:rsidRDefault="007B7C44" w:rsidP="007B7C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9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E4293">
        <w:rPr>
          <w:rFonts w:ascii="Times New Roman" w:hAnsi="Times New Roman" w:cs="Times New Roman"/>
          <w:sz w:val="24"/>
          <w:szCs w:val="24"/>
        </w:rPr>
        <w:t>:</w:t>
      </w:r>
    </w:p>
    <w:p w14:paraId="464974F9" w14:textId="3E5EE414" w:rsidR="007B7C44" w:rsidRPr="00090598" w:rsidRDefault="007B7C44" w:rsidP="006E3CC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r w:rsidRPr="0009059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audit.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.</w:t>
      </w:r>
    </w:p>
    <w:p w14:paraId="67B1EAB0" w14:textId="05354FC3" w:rsidR="007B7C44" w:rsidRPr="00090598" w:rsidRDefault="007B7C44" w:rsidP="006E3CC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598">
        <w:rPr>
          <w:rFonts w:ascii="Times New Roman" w:hAnsi="Times New Roman" w:cs="Times New Roman"/>
          <w:sz w:val="24"/>
          <w:szCs w:val="24"/>
        </w:rPr>
        <w:lastRenderedPageBreak/>
        <w:t>Denda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.</w:t>
      </w:r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:</w:t>
      </w:r>
    </w:p>
    <w:p w14:paraId="019B1DCB" w14:textId="0BDB6B89" w:rsidR="007B7C44" w:rsidRPr="00090598" w:rsidRDefault="007B7C44" w:rsidP="006E3CC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98">
        <w:rPr>
          <w:rFonts w:ascii="Times New Roman" w:hAnsi="Times New Roman" w:cs="Times New Roman"/>
          <w:sz w:val="24"/>
          <w:szCs w:val="24"/>
        </w:rPr>
        <w:t>1‰ (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permil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AE4293"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pemilihan</w:t>
      </w:r>
      <w:proofErr w:type="spellEnd"/>
    </w:p>
    <w:p w14:paraId="36D294BE" w14:textId="0F42C816" w:rsidR="007B7C44" w:rsidRDefault="007B7C44" w:rsidP="006E3CC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98">
        <w:rPr>
          <w:rFonts w:ascii="Times New Roman" w:hAnsi="Times New Roman" w:cs="Times New Roman"/>
          <w:sz w:val="24"/>
          <w:szCs w:val="24"/>
        </w:rPr>
        <w:t>1‰ (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permil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98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090598">
        <w:rPr>
          <w:rFonts w:ascii="Times New Roman" w:hAnsi="Times New Roman" w:cs="Times New Roman"/>
          <w:sz w:val="24"/>
          <w:szCs w:val="24"/>
        </w:rPr>
        <w:t>.</w:t>
      </w:r>
    </w:p>
    <w:p w14:paraId="47A10601" w14:textId="7384C3BB" w:rsidR="007B7C44" w:rsidRPr="006E3CC6" w:rsidRDefault="007B7C44" w:rsidP="006E3CC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.</w:t>
      </w:r>
    </w:p>
    <w:p w14:paraId="1E7BA228" w14:textId="77777777" w:rsidR="00117968" w:rsidRPr="00117968" w:rsidRDefault="00117968" w:rsidP="001179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92191" w14:textId="23827325" w:rsidR="007B7C44" w:rsidRPr="006E3CC6" w:rsidRDefault="00117968" w:rsidP="006E3CC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B7C44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6E3CC6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r w:rsidR="007B7C44" w:rsidRPr="006E3CC6">
        <w:rPr>
          <w:rFonts w:ascii="Times New Roman" w:hAnsi="Times New Roman" w:cs="Times New Roman"/>
          <w:sz w:val="24"/>
          <w:szCs w:val="24"/>
        </w:rPr>
        <w:t>Lain:</w:t>
      </w:r>
    </w:p>
    <w:p w14:paraId="21D3EDC3" w14:textId="2581D29D" w:rsidR="007B7C44" w:rsidRPr="00117968" w:rsidRDefault="007B7C44" w:rsidP="001179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negara/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>, yang</w:t>
      </w:r>
      <w:r w:rsidR="00AE4293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AE4293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>.</w:t>
      </w:r>
    </w:p>
    <w:p w14:paraId="5A551C8B" w14:textId="087C9347" w:rsidR="007B7C44" w:rsidRPr="00117968" w:rsidRDefault="007B7C44" w:rsidP="001179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>:</w:t>
      </w:r>
    </w:p>
    <w:p w14:paraId="0E34DE03" w14:textId="69DD8BFD" w:rsidR="007B7C44" w:rsidRPr="00117968" w:rsidRDefault="00117968" w:rsidP="001179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68">
        <w:rPr>
          <w:rFonts w:ascii="Times New Roman" w:hAnsi="Times New Roman" w:cs="Times New Roman"/>
          <w:sz w:val="24"/>
          <w:szCs w:val="24"/>
        </w:rPr>
        <w:t>H</w:t>
      </w:r>
      <w:r w:rsidR="007B7C44" w:rsidRPr="00117968">
        <w:rPr>
          <w:rFonts w:ascii="Times New Roman" w:hAnsi="Times New Roman" w:cs="Times New Roman"/>
          <w:sz w:val="24"/>
          <w:szCs w:val="24"/>
        </w:rPr>
        <w:t xml:space="preserve">asil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>;</w:t>
      </w:r>
    </w:p>
    <w:p w14:paraId="1D35C094" w14:textId="195EF827" w:rsidR="007B7C44" w:rsidRPr="00117968" w:rsidRDefault="007B7C44" w:rsidP="001179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11796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17968">
        <w:rPr>
          <w:rFonts w:ascii="Times New Roman" w:hAnsi="Times New Roman" w:cs="Times New Roman"/>
          <w:sz w:val="24"/>
          <w:szCs w:val="24"/>
        </w:rPr>
        <w:t>;</w:t>
      </w:r>
    </w:p>
    <w:p w14:paraId="3229BD0A" w14:textId="20532E2C" w:rsidR="007B7C44" w:rsidRPr="00117968" w:rsidRDefault="00117968" w:rsidP="001179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P</w:t>
      </w:r>
      <w:r w:rsidR="007B7C44" w:rsidRPr="00117968">
        <w:rPr>
          <w:rFonts w:ascii="Times New Roman" w:hAnsi="Times New Roman" w:cs="Times New Roman"/>
          <w:sz w:val="24"/>
          <w:szCs w:val="24"/>
        </w:rPr>
        <w:t>emeriksaan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>;</w:t>
      </w:r>
    </w:p>
    <w:p w14:paraId="06460938" w14:textId="035D9A1B" w:rsidR="007B7C44" w:rsidRPr="00117968" w:rsidRDefault="00117968" w:rsidP="001179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L</w:t>
      </w:r>
      <w:r w:rsidR="007B7C44" w:rsidRPr="00117968">
        <w:rPr>
          <w:rFonts w:ascii="Times New Roman" w:hAnsi="Times New Roman" w:cs="Times New Roman"/>
          <w:sz w:val="24"/>
          <w:szCs w:val="24"/>
        </w:rPr>
        <w:t>aporan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>;</w:t>
      </w:r>
    </w:p>
    <w:p w14:paraId="47DC61FD" w14:textId="19874F05" w:rsidR="007B7C44" w:rsidRPr="00117968" w:rsidRDefault="00117968" w:rsidP="001179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I</w:t>
      </w:r>
      <w:r w:rsidR="007B7C44" w:rsidRPr="00117968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>;</w:t>
      </w:r>
    </w:p>
    <w:p w14:paraId="6CA80D09" w14:textId="738F417B" w:rsidR="007B7C44" w:rsidRPr="00117968" w:rsidRDefault="00117968" w:rsidP="001179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P</w:t>
      </w:r>
      <w:r w:rsidR="007B7C44" w:rsidRPr="00117968"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ex officio; dan/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06090237" w14:textId="263E0A5D" w:rsidR="007B7C44" w:rsidRPr="00117968" w:rsidRDefault="00117968" w:rsidP="0011796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68">
        <w:rPr>
          <w:rFonts w:ascii="Times New Roman" w:hAnsi="Times New Roman" w:cs="Times New Roman"/>
          <w:sz w:val="24"/>
          <w:szCs w:val="24"/>
        </w:rPr>
        <w:t>P</w:t>
      </w:r>
      <w:r w:rsidR="007B7C44" w:rsidRPr="00117968">
        <w:rPr>
          <w:rFonts w:ascii="Times New Roman" w:hAnsi="Times New Roman" w:cs="Times New Roman"/>
          <w:sz w:val="24"/>
          <w:szCs w:val="24"/>
        </w:rPr>
        <w:t>elapor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44" w:rsidRPr="00117968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7B7C44" w:rsidRPr="00117968">
        <w:rPr>
          <w:rFonts w:ascii="Times New Roman" w:hAnsi="Times New Roman" w:cs="Times New Roman"/>
          <w:sz w:val="24"/>
          <w:szCs w:val="24"/>
        </w:rPr>
        <w:t>.</w:t>
      </w:r>
    </w:p>
    <w:p w14:paraId="0D3075EB" w14:textId="77777777" w:rsidR="00AE4293" w:rsidRDefault="00AE4293" w:rsidP="007B7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46058" w14:textId="27EE128D" w:rsidR="007B7C44" w:rsidRPr="006E3CC6" w:rsidRDefault="007B7C44" w:rsidP="007B7C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:</w:t>
      </w:r>
    </w:p>
    <w:p w14:paraId="1326C2F0" w14:textId="5E26B152" w:rsidR="007B7C44" w:rsidRPr="006E3CC6" w:rsidRDefault="007B7C44" w:rsidP="007B7C4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negara. 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wewenangnya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BPK.</w:t>
      </w:r>
    </w:p>
    <w:p w14:paraId="51113FBF" w14:textId="3A4A44E0" w:rsidR="007B7C44" w:rsidRPr="006E3CC6" w:rsidRDefault="007B7C44" w:rsidP="006E3CC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:</w:t>
      </w:r>
    </w:p>
    <w:p w14:paraId="1DC76BD5" w14:textId="0AD33E90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;</w:t>
      </w:r>
    </w:p>
    <w:p w14:paraId="06808BCC" w14:textId="2FB0EE8E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Badan Pendidikan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Negara;</w:t>
      </w:r>
    </w:p>
    <w:p w14:paraId="0C7FB42E" w14:textId="75A5D6E7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Utama;</w:t>
      </w:r>
    </w:p>
    <w:p w14:paraId="1A2FFC7D" w14:textId="603A6092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lastRenderedPageBreak/>
        <w:t>Ditama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Revbang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;</w:t>
      </w:r>
    </w:p>
    <w:p w14:paraId="3DF60E98" w14:textId="7455F7EC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Ditama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Binbangkum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;</w:t>
      </w:r>
    </w:p>
    <w:p w14:paraId="239AA620" w14:textId="75FAAC54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>AKN I;</w:t>
      </w:r>
    </w:p>
    <w:p w14:paraId="7EE3E958" w14:textId="1A246410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>AKN II;</w:t>
      </w:r>
    </w:p>
    <w:p w14:paraId="087BDF5D" w14:textId="7040B20A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>AKN III;</w:t>
      </w:r>
    </w:p>
    <w:p w14:paraId="1334B925" w14:textId="4677C02D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>AKN IV</w:t>
      </w:r>
    </w:p>
    <w:p w14:paraId="68AF896B" w14:textId="48382C43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>AKN V;</w:t>
      </w:r>
    </w:p>
    <w:p w14:paraId="3137CAED" w14:textId="2C741F05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>AKN VI;</w:t>
      </w:r>
    </w:p>
    <w:p w14:paraId="4470C602" w14:textId="6B7B7800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>AKN VII;</w:t>
      </w:r>
    </w:p>
    <w:p w14:paraId="35690163" w14:textId="618164B6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Auditorat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Utama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;</w:t>
      </w:r>
    </w:p>
    <w:p w14:paraId="1866F175" w14:textId="24E73762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;</w:t>
      </w:r>
    </w:p>
    <w:p w14:paraId="4049DBB6" w14:textId="34E6A52E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Ahli; dan</w:t>
      </w:r>
    </w:p>
    <w:p w14:paraId="6C7EB686" w14:textId="325B8167" w:rsidR="007B7C44" w:rsidRPr="006E3CC6" w:rsidRDefault="007B7C44" w:rsidP="006E3CC6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.</w:t>
      </w:r>
    </w:p>
    <w:p w14:paraId="30C57F9D" w14:textId="586F609A" w:rsidR="007B7C44" w:rsidRPr="006E3CC6" w:rsidRDefault="007B7C44" w:rsidP="007B7C4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AKN V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>di</w:t>
      </w:r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V BPK. AKN</w:t>
      </w:r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negara</w:t>
      </w:r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 xml:space="preserve">pada Kementerian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Negeri, Kementerian Agama, Badan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 xml:space="preserve">Haji, Badan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Wilayah Surabaya-Madura, Badan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, Badan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Pengusahaan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BadanPengusahaan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Sabang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di wilayah Sumatera</w:t>
      </w:r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.</w:t>
      </w:r>
    </w:p>
    <w:p w14:paraId="0837AAF1" w14:textId="04190314" w:rsidR="007B7C44" w:rsidRPr="006E3CC6" w:rsidRDefault="007B7C44" w:rsidP="006E3CC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Nusa Tenggara Barat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AKN VI dan</w:t>
      </w:r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VI 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Auditor Utama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E4293" w:rsidRP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>Negara VI.</w:t>
      </w:r>
    </w:p>
    <w:p w14:paraId="4F6BEFEB" w14:textId="51A850D8" w:rsidR="007B7C44" w:rsidRPr="006E3CC6" w:rsidRDefault="007B7C44" w:rsidP="006E3CC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6">
        <w:rPr>
          <w:rFonts w:ascii="Times New Roman" w:hAnsi="Times New Roman" w:cs="Times New Roman"/>
          <w:sz w:val="24"/>
          <w:szCs w:val="24"/>
        </w:rPr>
        <w:t xml:space="preserve">BPK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dan</w:t>
      </w:r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NTB,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r w:rsidRPr="006E3CC6">
        <w:rPr>
          <w:rFonts w:ascii="Times New Roman" w:hAnsi="Times New Roman" w:cs="Times New Roman"/>
          <w:sz w:val="24"/>
          <w:szCs w:val="24"/>
        </w:rPr>
        <w:t xml:space="preserve">NTB, BUMD, dan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E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 xml:space="preserve"> oleh AKN dan Auditor Utama </w:t>
      </w:r>
      <w:proofErr w:type="spellStart"/>
      <w:r w:rsidRPr="006E3CC6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6E3CC6">
        <w:rPr>
          <w:rFonts w:ascii="Times New Roman" w:hAnsi="Times New Roman" w:cs="Times New Roman"/>
          <w:sz w:val="24"/>
          <w:szCs w:val="24"/>
        </w:rPr>
        <w:t>.</w:t>
      </w:r>
    </w:p>
    <w:p w14:paraId="7ADFD765" w14:textId="77777777" w:rsidR="007B7C44" w:rsidRPr="007B7C44" w:rsidRDefault="007B7C44" w:rsidP="007B7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C44" w:rsidRPr="007B7C44" w:rsidSect="00360E04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FE3D" w14:textId="77777777" w:rsidR="00D3533D" w:rsidRDefault="00D3533D" w:rsidP="00B83E03">
      <w:pPr>
        <w:spacing w:after="0" w:line="240" w:lineRule="auto"/>
      </w:pPr>
      <w:r>
        <w:separator/>
      </w:r>
    </w:p>
  </w:endnote>
  <w:endnote w:type="continuationSeparator" w:id="0">
    <w:p w14:paraId="62DB7E6E" w14:textId="77777777" w:rsidR="00D3533D" w:rsidRDefault="00D3533D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5322" w14:textId="77777777" w:rsidR="00D3533D" w:rsidRDefault="00D3533D" w:rsidP="00B83E03">
      <w:pPr>
        <w:spacing w:after="0" w:line="240" w:lineRule="auto"/>
      </w:pPr>
      <w:r>
        <w:separator/>
      </w:r>
    </w:p>
  </w:footnote>
  <w:footnote w:type="continuationSeparator" w:id="0">
    <w:p w14:paraId="4601E969" w14:textId="77777777" w:rsidR="00D3533D" w:rsidRDefault="00D3533D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C2CA"/>
      </v:shape>
    </w:pict>
  </w:numPicBullet>
  <w:abstractNum w:abstractNumId="0" w15:restartNumberingAfterBreak="0">
    <w:nsid w:val="0C6F1DCA"/>
    <w:multiLevelType w:val="hybridMultilevel"/>
    <w:tmpl w:val="CA268B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430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A1B"/>
    <w:multiLevelType w:val="hybridMultilevel"/>
    <w:tmpl w:val="752489BC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9522A"/>
    <w:multiLevelType w:val="hybridMultilevel"/>
    <w:tmpl w:val="B5DA22C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5976"/>
    <w:multiLevelType w:val="hybridMultilevel"/>
    <w:tmpl w:val="A98AC28C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6878"/>
    <w:multiLevelType w:val="hybridMultilevel"/>
    <w:tmpl w:val="FD02D896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0311"/>
    <w:multiLevelType w:val="hybridMultilevel"/>
    <w:tmpl w:val="BDECB57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3CEF"/>
    <w:multiLevelType w:val="hybridMultilevel"/>
    <w:tmpl w:val="A416898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406B"/>
    <w:multiLevelType w:val="hybridMultilevel"/>
    <w:tmpl w:val="1B84D7BC"/>
    <w:lvl w:ilvl="0" w:tplc="229E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0EF6A">
      <w:start w:val="1"/>
      <w:numFmt w:val="decimal"/>
      <w:lvlText w:val="(%2)"/>
      <w:lvlJc w:val="left"/>
      <w:pPr>
        <w:ind w:left="1530" w:hanging="45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62D3"/>
    <w:multiLevelType w:val="hybridMultilevel"/>
    <w:tmpl w:val="E3B8AFA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3915"/>
    <w:multiLevelType w:val="hybridMultilevel"/>
    <w:tmpl w:val="229ACFB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57B41"/>
    <w:multiLevelType w:val="hybridMultilevel"/>
    <w:tmpl w:val="6C30073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2168"/>
    <w:multiLevelType w:val="hybridMultilevel"/>
    <w:tmpl w:val="11649DB6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31D1"/>
    <w:multiLevelType w:val="hybridMultilevel"/>
    <w:tmpl w:val="D8525296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216"/>
    <w:multiLevelType w:val="hybridMultilevel"/>
    <w:tmpl w:val="398C43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6E3B"/>
    <w:multiLevelType w:val="hybridMultilevel"/>
    <w:tmpl w:val="BEE01A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3BD5"/>
    <w:multiLevelType w:val="hybridMultilevel"/>
    <w:tmpl w:val="2EFCE8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09E2"/>
    <w:multiLevelType w:val="hybridMultilevel"/>
    <w:tmpl w:val="AEB0152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073CE"/>
    <w:multiLevelType w:val="hybridMultilevel"/>
    <w:tmpl w:val="D128783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F6C89"/>
    <w:multiLevelType w:val="hybridMultilevel"/>
    <w:tmpl w:val="373EC32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82435"/>
    <w:multiLevelType w:val="hybridMultilevel"/>
    <w:tmpl w:val="59044F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40EE3"/>
    <w:multiLevelType w:val="hybridMultilevel"/>
    <w:tmpl w:val="A44A4F2C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067B"/>
    <w:multiLevelType w:val="hybridMultilevel"/>
    <w:tmpl w:val="7026BDE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5716"/>
    <w:multiLevelType w:val="hybridMultilevel"/>
    <w:tmpl w:val="4886C004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21"/>
  </w:num>
  <w:num w:numId="13">
    <w:abstractNumId w:val="20"/>
  </w:num>
  <w:num w:numId="14">
    <w:abstractNumId w:val="1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0598"/>
    <w:rsid w:val="00095706"/>
    <w:rsid w:val="000B6567"/>
    <w:rsid w:val="000D04A5"/>
    <w:rsid w:val="000F0EF6"/>
    <w:rsid w:val="001103BE"/>
    <w:rsid w:val="00113FE0"/>
    <w:rsid w:val="00117968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0F15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3CC6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B7C44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45157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E4293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533D"/>
    <w:rsid w:val="00D36025"/>
    <w:rsid w:val="00D47168"/>
    <w:rsid w:val="00D5592A"/>
    <w:rsid w:val="00D5667B"/>
    <w:rsid w:val="00D60AA7"/>
    <w:rsid w:val="00D617BA"/>
    <w:rsid w:val="00D63ECA"/>
    <w:rsid w:val="00D86C14"/>
    <w:rsid w:val="00D911B1"/>
    <w:rsid w:val="00D95A89"/>
    <w:rsid w:val="00DA1062"/>
    <w:rsid w:val="00DA41B3"/>
    <w:rsid w:val="00DA6F2B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44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hukum.dan.kriminal/2020/289861/Penyidik.Periksa.Tiga.Saksi.Kasus.Asrama.Haj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6B06-348F-4DF3-9E3C-20A91334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2020-03-21T03:52:00Z</dcterms:created>
  <dcterms:modified xsi:type="dcterms:W3CDTF">2020-03-21T03:52:00Z</dcterms:modified>
</cp:coreProperties>
</file>