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3377" w14:textId="3787448C" w:rsidR="0022539A" w:rsidRPr="0022539A" w:rsidRDefault="0022539A" w:rsidP="002253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D"/>
        </w:rPr>
      </w:pPr>
      <w:r w:rsidRPr="0022539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D"/>
        </w:rPr>
        <w:t>PERBAIKAN JEMBATAN PUTUS DI BIMA DAN DOMPU SEGERA TUNTAS</w:t>
      </w:r>
    </w:p>
    <w:p w14:paraId="10F4FB64" w14:textId="1001F23A" w:rsidR="0022539A" w:rsidRDefault="0022539A" w:rsidP="002253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7E8DD6" wp14:editId="5E9EDFF0">
            <wp:extent cx="4238883" cy="238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78" cy="24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4E19" w14:textId="41DBBAC2" w:rsidR="0022539A" w:rsidRPr="0022539A" w:rsidRDefault="0022539A" w:rsidP="002253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D2514">
          <w:rPr>
            <w:rStyle w:val="Hyperlink"/>
            <w:rFonts w:ascii="Times New Roman" w:hAnsi="Times New Roman" w:cs="Times New Roman"/>
            <w:sz w:val="24"/>
            <w:szCs w:val="24"/>
          </w:rPr>
          <w:t>www.suarantb.com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CE301" w14:textId="77777777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F9103" w14:textId="77777777" w:rsidR="0022539A" w:rsidRDefault="0022539A" w:rsidP="0022539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Mataram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(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Suara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NTB) –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Dinas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Pekerjaan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Umum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Penataan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(PUPR)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memastikan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putus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wilayah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Bima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Dompu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tuntas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enam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bua</w:t>
      </w:r>
      <w:bookmarkStart w:id="0" w:name="_GoBack"/>
      <w:bookmarkEnd w:id="0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ditambah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pengamanan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sungai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pantai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menggunakan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terduga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APBD NTB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Rp1,325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‘’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belakangan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dilakukan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pembahasan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bersama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Tim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Pemerintah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Daerah (TAPD) NTB,’’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ujar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Kepala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Dinas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PUPR NTB, Ir. H.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MM,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Selasa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10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Maret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2020.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menjelaskan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enam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ditangani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Pertama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Jalan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Simpang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Kore – </w:t>
      </w:r>
      <w:proofErr w:type="spellStart"/>
      <w:proofErr w:type="gram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Sampungu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 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tiga</w:t>
      </w:r>
      <w:proofErr w:type="spellEnd"/>
      <w:proofErr w:type="gram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duiker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satu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pengaman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sungai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diperbaiki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Kemudian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gram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  Jalan</w:t>
      </w:r>
      <w:proofErr w:type="gram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Labuan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Kenanga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tiga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 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bentang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sekitar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5 meter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hanyut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diperbaiki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termasuk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pengaman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pantai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‘’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kita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tangani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Kita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menggunakan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terduga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Rp1,325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sebut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</w:p>
    <w:p w14:paraId="16BF5B56" w14:textId="77777777" w:rsidR="0022539A" w:rsidRDefault="0022539A" w:rsidP="0022539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Belum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selesai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enam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kata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terjadi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lagi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kerusakan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wilayah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Bima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Yakni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2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bentang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5 meter di wilayah Bajo –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Sampungu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Kilo –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Sampungu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Kemudian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dua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duiker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bentang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2,5 meter di wilayah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Wilamaci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Karumbu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darurat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kata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membutuhkan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lastRenderedPageBreak/>
        <w:t>sekitar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Rp2,1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 “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Mudah-mudahan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rapat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TAPD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sekarang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menyetujui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harapnya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</w:p>
    <w:p w14:paraId="6A82E299" w14:textId="77777777" w:rsidR="0022539A" w:rsidRDefault="0022539A" w:rsidP="0022539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menjelaskan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penanganan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darurat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lapangan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mulai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meskipun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dilakukan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pembahasan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darurat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ditargetkan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tuntas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menambahkan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permanen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nantinya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diusulkan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APBD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Perubahan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Dikatakan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perbaikan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proofErr w:type="gram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permanen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 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membutuhkan</w:t>
      </w:r>
      <w:proofErr w:type="spellEnd"/>
      <w:proofErr w:type="gram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anggaran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hingga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puluhan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Ditanya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kendala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dihadapi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lapangan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mengatakan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banyak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masyarakat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ikut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campur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dalam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penanganannya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Ada box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cuilvert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runtuh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dibongkar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oleh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masyarakat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Jika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dibongkar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maka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lereng-lereng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lain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terancam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ikut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hanyut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Karena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fungsi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box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cuilvert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menahan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longsoran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tebing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‘’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Kendala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lain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Kita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lapangan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siap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Bahan-bahan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Aramco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siap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begitu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juga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bronjong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tinggal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dipasang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,’’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tandas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Azhar.</w:t>
      </w:r>
      <w:proofErr w:type="spellEnd"/>
    </w:p>
    <w:p w14:paraId="62CF78C6" w14:textId="2B3764E0" w:rsidR="0022539A" w:rsidRPr="0022539A" w:rsidRDefault="0022539A" w:rsidP="0022539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Rata-rata,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putus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Bima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Dompu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dimensinya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pendek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Namun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akibat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banjir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dimensinya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melebar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Semula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lebarnya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5 meter,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sekarang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bisa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menjadi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10 meter. ‘’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terus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kita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bicarakan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baik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Terpenting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sekarang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penanganan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darurat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dipercepat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agar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dapat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dilalui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masyarakat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,’’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katanya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Azhar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mengungkapkan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hampir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setiap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tahun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terjadi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kerusakan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infrastruktur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Bima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Dompu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akibat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banjir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bandang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Karena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kondisi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hutan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sana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sudah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gundul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 ‘’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Bukan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saja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jalan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gram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dan 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jembatan</w:t>
      </w:r>
      <w:proofErr w:type="spellEnd"/>
      <w:proofErr w:type="gram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rusak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tapi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bendungan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jaringan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irigasi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juga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mengalami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sedimentasi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,’’ </w:t>
      </w:r>
      <w:proofErr w:type="spellStart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tandasnya</w:t>
      </w:r>
      <w:proofErr w:type="spellEnd"/>
      <w:r w:rsidRPr="0022539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 </w:t>
      </w:r>
      <w:r w:rsidRPr="002253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(</w:t>
      </w:r>
      <w:proofErr w:type="spellStart"/>
      <w:r w:rsidRPr="002253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nas</w:t>
      </w:r>
      <w:proofErr w:type="spellEnd"/>
      <w:r w:rsidRPr="002253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/*)</w:t>
      </w:r>
    </w:p>
    <w:p w14:paraId="4C59263C" w14:textId="0725B075" w:rsid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F2C21" w14:textId="05BD8B52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225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2253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1CB1A1" w14:textId="50EF11D0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2539A">
          <w:rPr>
            <w:rStyle w:val="Hyperlink"/>
            <w:rFonts w:ascii="Times New Roman" w:hAnsi="Times New Roman" w:cs="Times New Roman"/>
            <w:sz w:val="24"/>
            <w:szCs w:val="24"/>
          </w:rPr>
          <w:t>https://www.suarantb.com/ntb/2020/290601/Perbaikan.Jembatan.Putus.di.Bima.dan.Dompu.Segera.Tuntas/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</w:t>
      </w:r>
      <w:proofErr w:type="spellEnd"/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pada </w:t>
      </w:r>
      <w:proofErr w:type="spellStart"/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12 </w:t>
      </w:r>
      <w:proofErr w:type="spellStart"/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Maret</w:t>
      </w:r>
      <w:proofErr w:type="spellEnd"/>
      <w:r w:rsidRPr="002253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</w:t>
      </w:r>
    </w:p>
    <w:p w14:paraId="4ED71B32" w14:textId="77777777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B1F5D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b/>
          <w:bCs/>
          <w:sz w:val="24"/>
          <w:szCs w:val="24"/>
        </w:rPr>
        <w:t>Catatan</w:t>
      </w:r>
      <w:proofErr w:type="spellEnd"/>
      <w:r w:rsidRPr="00225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2253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EF03A" w14:textId="77777777" w:rsidR="0022539A" w:rsidRPr="0022539A" w:rsidRDefault="0022539A" w:rsidP="0022539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33C2B8D0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5038D1F0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122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</w:p>
    <w:p w14:paraId="2EDABDE1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3247A" w14:textId="77777777" w:rsidR="0022539A" w:rsidRPr="0022539A" w:rsidRDefault="0022539A" w:rsidP="0022539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2B8B1797" w14:textId="77777777" w:rsidR="0022539A" w:rsidRPr="0022539A" w:rsidRDefault="0022539A" w:rsidP="0022539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penyediaannya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1214C956" w14:textId="77777777" w:rsidR="0022539A" w:rsidRPr="0022539A" w:rsidRDefault="0022539A" w:rsidP="0022539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427C94AD" w14:textId="77777777" w:rsidR="0022539A" w:rsidRPr="0022539A" w:rsidRDefault="0022539A" w:rsidP="0022539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KPPIP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40607FAC" w14:textId="77777777" w:rsidR="0022539A" w:rsidRPr="0022539A" w:rsidRDefault="0022539A" w:rsidP="0022539A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Prastudi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(</w:t>
      </w:r>
      <w:r w:rsidRPr="0022539A">
        <w:rPr>
          <w:rFonts w:ascii="Times New Roman" w:hAnsi="Times New Roman" w:cs="Times New Roman"/>
          <w:i/>
          <w:iCs/>
          <w:sz w:val="24"/>
          <w:szCs w:val="24"/>
        </w:rPr>
        <w:t>outline business cause</w:t>
      </w:r>
      <w:r w:rsidRPr="0022539A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(</w:t>
      </w:r>
      <w:r w:rsidRPr="0022539A">
        <w:rPr>
          <w:rFonts w:ascii="Times New Roman" w:hAnsi="Times New Roman" w:cs="Times New Roman"/>
          <w:i/>
          <w:iCs/>
          <w:sz w:val="24"/>
          <w:szCs w:val="24"/>
        </w:rPr>
        <w:t>final business cause).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510EC69F" w14:textId="77777777" w:rsidR="0022539A" w:rsidRPr="0022539A" w:rsidRDefault="0022539A" w:rsidP="0022539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69322" w14:textId="77777777" w:rsidR="0022539A" w:rsidRPr="0022539A" w:rsidRDefault="0022539A" w:rsidP="0022539A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2EA7633B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6696AD24" w14:textId="77777777" w:rsidR="0022539A" w:rsidRPr="0022539A" w:rsidRDefault="0022539A" w:rsidP="0022539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3D7D2EB2" w14:textId="77777777" w:rsidR="0022539A" w:rsidRPr="0022539A" w:rsidRDefault="0022539A" w:rsidP="0022539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wilayah;</w:t>
      </w:r>
    </w:p>
    <w:p w14:paraId="06753CBB" w14:textId="77777777" w:rsidR="0022539A" w:rsidRPr="0022539A" w:rsidRDefault="0022539A" w:rsidP="0022539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wilayah;</w:t>
      </w:r>
    </w:p>
    <w:p w14:paraId="5AA79225" w14:textId="77777777" w:rsidR="0022539A" w:rsidRPr="0022539A" w:rsidRDefault="0022539A" w:rsidP="0022539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ksejahteraan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dan/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699E88D4" w14:textId="77777777" w:rsidR="0022539A" w:rsidRPr="0022539A" w:rsidRDefault="0022539A" w:rsidP="0022539A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lastRenderedPageBreak/>
        <w:t>membutuhkan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01F422BB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2120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2A347D27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3AB2184F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5D5B720D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8335762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04AC0B58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573BE00C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2F0F053A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6E4845E1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65ADB156" w14:textId="77777777" w:rsidR="0022539A" w:rsidRPr="0022539A" w:rsidRDefault="0022539A" w:rsidP="0022539A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53791FF6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68CBF389" w14:textId="77777777" w:rsidR="0022539A" w:rsidRPr="0022539A" w:rsidRDefault="0022539A" w:rsidP="0022539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perkeretaapian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734AC06F" w14:textId="77777777" w:rsidR="0022539A" w:rsidRPr="0022539A" w:rsidRDefault="0022539A" w:rsidP="0022539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5C55139" w14:textId="77777777" w:rsidR="0022539A" w:rsidRPr="0022539A" w:rsidRDefault="0022539A" w:rsidP="0022539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penyeberangan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4DC9A497" w14:textId="77777777" w:rsidR="0022539A" w:rsidRPr="0022539A" w:rsidRDefault="0022539A" w:rsidP="0022539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kebandarudaraan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4BBC0720" w14:textId="77777777" w:rsidR="0022539A" w:rsidRPr="0022539A" w:rsidRDefault="0022539A" w:rsidP="0022539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076A4167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125BB9AE" w14:textId="77777777" w:rsidR="0022539A" w:rsidRPr="0022539A" w:rsidRDefault="0022539A" w:rsidP="0022539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63EEF098" w14:textId="77777777" w:rsidR="0022539A" w:rsidRPr="0022539A" w:rsidRDefault="0022539A" w:rsidP="0022539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6090F3BF" w14:textId="77777777" w:rsidR="0022539A" w:rsidRPr="0022539A" w:rsidRDefault="0022539A" w:rsidP="0022539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33E3E23F" w14:textId="77777777" w:rsidR="0022539A" w:rsidRPr="0022539A" w:rsidRDefault="0022539A" w:rsidP="0022539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486B4807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56B716C6" w14:textId="77777777" w:rsidR="0022539A" w:rsidRPr="0022539A" w:rsidRDefault="0022539A" w:rsidP="002253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48F188CA" w14:textId="77777777" w:rsidR="0022539A" w:rsidRPr="0022539A" w:rsidRDefault="0022539A" w:rsidP="002253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Bendung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75198592" w14:textId="77777777" w:rsidR="0022539A" w:rsidRPr="0022539A" w:rsidRDefault="0022539A" w:rsidP="002253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6F262A39" w14:textId="77777777" w:rsidR="0022539A" w:rsidRPr="0022539A" w:rsidRDefault="0022539A" w:rsidP="002253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lastRenderedPageBreak/>
        <w:t>Bangunan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262EB409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68BD8353" w14:textId="77777777" w:rsidR="0022539A" w:rsidRPr="0022539A" w:rsidRDefault="0022539A" w:rsidP="002253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496400FC" w14:textId="77777777" w:rsidR="0022539A" w:rsidRPr="0022539A" w:rsidRDefault="0022539A" w:rsidP="002253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C86AABA" w14:textId="77777777" w:rsidR="0022539A" w:rsidRPr="0022539A" w:rsidRDefault="0022539A" w:rsidP="002253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7550599D" w14:textId="77777777" w:rsidR="0022539A" w:rsidRPr="0022539A" w:rsidRDefault="0022539A" w:rsidP="002253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268AD725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376C6AB4" w14:textId="77777777" w:rsidR="0022539A" w:rsidRPr="0022539A" w:rsidRDefault="0022539A" w:rsidP="0022539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55464113" w14:textId="77777777" w:rsidR="0022539A" w:rsidRPr="0022539A" w:rsidRDefault="0022539A" w:rsidP="0022539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033B4CE6" w14:textId="77777777" w:rsidR="0022539A" w:rsidRPr="0022539A" w:rsidRDefault="0022539A" w:rsidP="0022539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1501C29D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7F93B735" w14:textId="77777777" w:rsidR="0022539A" w:rsidRPr="0022539A" w:rsidRDefault="0022539A" w:rsidP="0022539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60E8699B" w14:textId="77777777" w:rsidR="0022539A" w:rsidRPr="0022539A" w:rsidRDefault="0022539A" w:rsidP="0022539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4F285B2A" w14:textId="77777777" w:rsidR="0022539A" w:rsidRPr="0022539A" w:rsidRDefault="0022539A" w:rsidP="0022539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5A3E3DC3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20D44413" w14:textId="77777777" w:rsidR="0022539A" w:rsidRPr="0022539A" w:rsidRDefault="0022539A" w:rsidP="0022539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0A444567" w14:textId="77777777" w:rsidR="0022539A" w:rsidRPr="0022539A" w:rsidRDefault="0022539A" w:rsidP="0022539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7827323E" w14:textId="77777777" w:rsidR="0022539A" w:rsidRPr="0022539A" w:rsidRDefault="0022539A" w:rsidP="0022539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2BF6CB6" w14:textId="77777777" w:rsidR="0022539A" w:rsidRPr="0022539A" w:rsidRDefault="0022539A" w:rsidP="0022539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54BA4314" w14:textId="77777777" w:rsidR="0022539A" w:rsidRPr="0022539A" w:rsidRDefault="0022539A" w:rsidP="0022539A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08AC429E" w14:textId="77777777" w:rsidR="0022539A" w:rsidRPr="0022539A" w:rsidRDefault="0022539A" w:rsidP="0022539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:</w:t>
      </w:r>
    </w:p>
    <w:p w14:paraId="53844D89" w14:textId="77777777" w:rsidR="0022539A" w:rsidRPr="0022539A" w:rsidRDefault="0022539A" w:rsidP="0022539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Kilang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59F6C12" w14:textId="77777777" w:rsidR="0022539A" w:rsidRPr="0022539A" w:rsidRDefault="0022539A" w:rsidP="0022539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9A">
        <w:rPr>
          <w:rFonts w:ascii="Times New Roman" w:hAnsi="Times New Roman" w:cs="Times New Roman"/>
          <w:sz w:val="24"/>
          <w:szCs w:val="24"/>
        </w:rPr>
        <w:t>Depo; dan</w:t>
      </w:r>
    </w:p>
    <w:p w14:paraId="2001A637" w14:textId="77777777" w:rsidR="0022539A" w:rsidRPr="0022539A" w:rsidRDefault="0022539A" w:rsidP="0022539A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7A523DE1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CDFE4" w14:textId="77777777" w:rsidR="0022539A" w:rsidRPr="0022539A" w:rsidRDefault="0022539A" w:rsidP="00225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KPPIP (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):</w:t>
      </w:r>
    </w:p>
    <w:p w14:paraId="2EC6111C" w14:textId="77777777" w:rsidR="0022539A" w:rsidRPr="0022539A" w:rsidRDefault="0022539A" w:rsidP="0022539A">
      <w:pPr>
        <w:pStyle w:val="ListParagraph"/>
        <w:numPr>
          <w:ilvl w:val="1"/>
          <w:numId w:val="4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7F8B2C7F" w14:textId="77777777" w:rsidR="0022539A" w:rsidRPr="0022539A" w:rsidRDefault="0022539A" w:rsidP="0022539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lastRenderedPageBreak/>
        <w:t>memantau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936EF5D" w14:textId="77777777" w:rsidR="0022539A" w:rsidRPr="0022539A" w:rsidRDefault="0022539A" w:rsidP="0022539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6B897390" w14:textId="77777777" w:rsidR="0022539A" w:rsidRPr="0022539A" w:rsidRDefault="0022539A" w:rsidP="0022539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Prastudi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</w:t>
      </w:r>
    </w:p>
    <w:p w14:paraId="13233EAC" w14:textId="77777777" w:rsidR="0022539A" w:rsidRPr="0022539A" w:rsidRDefault="0022539A" w:rsidP="0022539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; dan</w:t>
      </w:r>
    </w:p>
    <w:p w14:paraId="4A27FA91" w14:textId="77777777" w:rsidR="0022539A" w:rsidRPr="0022539A" w:rsidRDefault="0022539A" w:rsidP="0022539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39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9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22539A">
        <w:rPr>
          <w:rFonts w:ascii="Times New Roman" w:hAnsi="Times New Roman" w:cs="Times New Roman"/>
          <w:sz w:val="24"/>
          <w:szCs w:val="24"/>
        </w:rPr>
        <w:t>.</w:t>
      </w:r>
      <w:r w:rsidRPr="0022539A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14:paraId="7AC45B59" w14:textId="77777777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15AE5" w14:textId="77777777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8DCE2" w14:textId="77777777" w:rsidR="0022539A" w:rsidRPr="0022539A" w:rsidRDefault="0022539A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8B265" w14:textId="77777777" w:rsidR="00E51597" w:rsidRPr="0022539A" w:rsidRDefault="00E51597" w:rsidP="00225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51597" w:rsidRPr="0022539A" w:rsidSect="00360E04">
      <w:footerReference w:type="default" r:id="rId11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1F95" w14:textId="77777777" w:rsidR="00F242BA" w:rsidRDefault="00F242BA" w:rsidP="00B83E03">
      <w:pPr>
        <w:spacing w:after="0" w:line="240" w:lineRule="auto"/>
      </w:pPr>
      <w:r>
        <w:separator/>
      </w:r>
    </w:p>
  </w:endnote>
  <w:endnote w:type="continuationSeparator" w:id="0">
    <w:p w14:paraId="49399A5D" w14:textId="77777777" w:rsidR="00F242BA" w:rsidRDefault="00F242BA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36C0" w14:textId="0A9BAF29" w:rsidR="008D23F3" w:rsidRDefault="008D23F3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8771AF">
      <w:rPr>
        <w:rFonts w:eastAsiaTheme="minorEastAsia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8D23F3" w:rsidRDefault="008D23F3" w:rsidP="00FE7E0F">
    <w:pPr>
      <w:pStyle w:val="Footer"/>
    </w:pPr>
  </w:p>
  <w:p w14:paraId="1263416C" w14:textId="77777777" w:rsidR="008D23F3" w:rsidRDefault="008D2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4500" w14:textId="77777777" w:rsidR="00F242BA" w:rsidRDefault="00F242BA" w:rsidP="00B83E03">
      <w:pPr>
        <w:spacing w:after="0" w:line="240" w:lineRule="auto"/>
      </w:pPr>
      <w:r>
        <w:separator/>
      </w:r>
    </w:p>
  </w:footnote>
  <w:footnote w:type="continuationSeparator" w:id="0">
    <w:p w14:paraId="13C1FB1D" w14:textId="77777777" w:rsidR="00F242BA" w:rsidRDefault="00F242BA" w:rsidP="00B83E03">
      <w:pPr>
        <w:spacing w:after="0" w:line="240" w:lineRule="auto"/>
      </w:pPr>
      <w:r>
        <w:continuationSeparator/>
      </w:r>
    </w:p>
  </w:footnote>
  <w:footnote w:id="1">
    <w:p w14:paraId="51F72C6D" w14:textId="77777777" w:rsidR="0022539A" w:rsidRPr="00C149B2" w:rsidRDefault="0022539A" w:rsidP="002253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Peraturan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Presiden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Nomor</w:t>
      </w:r>
      <w:proofErr w:type="spellEnd"/>
      <w:r>
        <w:rPr>
          <w:rFonts w:ascii="Calibri" w:hAnsi="Calibri" w:cs="Calibri"/>
          <w:sz w:val="20"/>
          <w:szCs w:val="20"/>
        </w:rPr>
        <w:t xml:space="preserve"> 75 </w:t>
      </w:r>
      <w:proofErr w:type="spellStart"/>
      <w:r>
        <w:rPr>
          <w:rFonts w:ascii="Calibri" w:hAnsi="Calibri" w:cs="Calibri"/>
          <w:sz w:val="20"/>
          <w:szCs w:val="20"/>
        </w:rPr>
        <w:t>Tahun</w:t>
      </w:r>
      <w:proofErr w:type="spellEnd"/>
      <w:r>
        <w:rPr>
          <w:rFonts w:ascii="Calibri" w:hAnsi="Calibri" w:cs="Calibri"/>
          <w:sz w:val="20"/>
          <w:szCs w:val="20"/>
        </w:rPr>
        <w:t xml:space="preserve"> 2014, </w:t>
      </w:r>
      <w:proofErr w:type="spellStart"/>
      <w:r>
        <w:rPr>
          <w:rFonts w:ascii="Calibri" w:hAnsi="Calibri" w:cs="Calibri"/>
          <w:sz w:val="20"/>
          <w:szCs w:val="20"/>
        </w:rPr>
        <w:t>Pasal</w:t>
      </w:r>
      <w:proofErr w:type="spellEnd"/>
      <w:r>
        <w:rPr>
          <w:rFonts w:ascii="Calibri" w:hAnsi="Calibri" w:cs="Calibri"/>
          <w:sz w:val="20"/>
          <w:szCs w:val="20"/>
        </w:rPr>
        <w:t xml:space="preserve"> 1 Ayat (1)</w:t>
      </w:r>
    </w:p>
  </w:footnote>
  <w:footnote w:id="2">
    <w:p w14:paraId="12702B5D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(2)</w:t>
      </w:r>
    </w:p>
  </w:footnote>
  <w:footnote w:id="3">
    <w:p w14:paraId="743C597C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(6)</w:t>
      </w:r>
    </w:p>
  </w:footnote>
  <w:footnote w:id="4">
    <w:p w14:paraId="4A41EDEC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(7)</w:t>
      </w:r>
    </w:p>
  </w:footnote>
  <w:footnote w:id="5">
    <w:p w14:paraId="5E514495" w14:textId="77777777" w:rsidR="0022539A" w:rsidRPr="00E473B4" w:rsidRDefault="0022539A" w:rsidP="0022539A">
      <w:pPr>
        <w:pStyle w:val="FootnoteText"/>
        <w:rPr>
          <w:rFonts w:cs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56CF">
        <w:rPr>
          <w:rFonts w:cstheme="minorHAnsi"/>
        </w:rPr>
        <w:t>Peraturan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Presiden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Nomor</w:t>
      </w:r>
      <w:proofErr w:type="spellEnd"/>
      <w:r w:rsidRPr="00E456CF">
        <w:rPr>
          <w:rFonts w:cstheme="minorHAnsi"/>
        </w:rPr>
        <w:t xml:space="preserve"> 75 </w:t>
      </w:r>
      <w:proofErr w:type="spellStart"/>
      <w:r w:rsidRPr="00E456CF">
        <w:rPr>
          <w:rFonts w:cstheme="minorHAnsi"/>
        </w:rPr>
        <w:t>Tahun</w:t>
      </w:r>
      <w:proofErr w:type="spellEnd"/>
      <w:r w:rsidRPr="00E456CF">
        <w:rPr>
          <w:rFonts w:cstheme="minorHAnsi"/>
        </w:rPr>
        <w:t xml:space="preserve"> 2014, </w:t>
      </w:r>
      <w:proofErr w:type="spellStart"/>
      <w:r w:rsidRPr="00E456CF">
        <w:rPr>
          <w:rFonts w:cstheme="minorHAnsi"/>
        </w:rPr>
        <w:t>Pasal</w:t>
      </w:r>
      <w:proofErr w:type="spellEnd"/>
      <w:r w:rsidRPr="00E456CF">
        <w:rPr>
          <w:rFonts w:cstheme="minorHAnsi"/>
        </w:rPr>
        <w:t xml:space="preserve"> 5</w:t>
      </w:r>
    </w:p>
  </w:footnote>
  <w:footnote w:id="6">
    <w:p w14:paraId="6EC0FDC4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7">
    <w:p w14:paraId="7CD428C8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8">
    <w:p w14:paraId="722D861A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9">
    <w:p w14:paraId="577E809D" w14:textId="4E6DC1BA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56CF">
        <w:rPr>
          <w:rFonts w:cstheme="minorHAnsi"/>
        </w:rPr>
        <w:t>Peraturan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Presiden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Nomor</w:t>
      </w:r>
      <w:proofErr w:type="spellEnd"/>
      <w:r w:rsidRPr="00E456CF">
        <w:rPr>
          <w:rFonts w:cstheme="minorHAnsi"/>
        </w:rPr>
        <w:t xml:space="preserve"> 75 </w:t>
      </w:r>
      <w:proofErr w:type="spellStart"/>
      <w:r w:rsidRPr="00E456CF">
        <w:rPr>
          <w:rFonts w:cstheme="minorHAnsi"/>
        </w:rPr>
        <w:t>Tahun</w:t>
      </w:r>
      <w:proofErr w:type="spellEnd"/>
      <w:r w:rsidRPr="00E456CF">
        <w:rPr>
          <w:rFonts w:cstheme="minorHAnsi"/>
        </w:rPr>
        <w:t xml:space="preserve"> 2014, </w:t>
      </w:r>
      <w:proofErr w:type="spellStart"/>
      <w:r w:rsidRPr="00E456CF">
        <w:rPr>
          <w:rFonts w:cstheme="minorHAnsi"/>
        </w:rPr>
        <w:t>Pasal</w:t>
      </w:r>
      <w:proofErr w:type="spellEnd"/>
      <w:r w:rsidRPr="00E456CF">
        <w:rPr>
          <w:rFonts w:cstheme="minorHAnsi"/>
        </w:rPr>
        <w:t xml:space="preserve"> </w:t>
      </w:r>
      <w:r>
        <w:rPr>
          <w:rFonts w:cstheme="minorHAnsi"/>
        </w:rPr>
        <w:t>6</w:t>
      </w:r>
    </w:p>
  </w:footnote>
  <w:footnote w:id="10">
    <w:p w14:paraId="2B18F9E7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1">
    <w:p w14:paraId="7837D7D9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2">
    <w:p w14:paraId="1160A43C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3">
    <w:p w14:paraId="438943C6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4">
    <w:p w14:paraId="03F9E2B1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5">
    <w:p w14:paraId="247A5906" w14:textId="77777777" w:rsidR="0022539A" w:rsidRPr="00C149B2" w:rsidRDefault="0022539A" w:rsidP="002253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libri" w:hAnsi="Calibri" w:cs="Calibri"/>
        </w:rPr>
        <w:t>Peraturan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Presiden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Nomor</w:t>
      </w:r>
      <w:proofErr w:type="spellEnd"/>
      <w:r>
        <w:rPr>
          <w:rFonts w:ascii="Calibri" w:hAnsi="Calibri" w:cs="Calibri"/>
        </w:rPr>
        <w:t xml:space="preserve"> 75 </w:t>
      </w:r>
      <w:proofErr w:type="spellStart"/>
      <w:r>
        <w:rPr>
          <w:rFonts w:ascii="Calibri" w:hAnsi="Calibri" w:cs="Calibri"/>
        </w:rPr>
        <w:t>Tahun</w:t>
      </w:r>
      <w:proofErr w:type="spellEnd"/>
      <w:r>
        <w:rPr>
          <w:rFonts w:ascii="Calibri" w:hAnsi="Calibri" w:cs="Calibri"/>
        </w:rPr>
        <w:t xml:space="preserve"> 2014 </w:t>
      </w:r>
      <w:proofErr w:type="spellStart"/>
      <w:r>
        <w:rPr>
          <w:rFonts w:ascii="Calibri" w:hAnsi="Calibri" w:cs="Calibri"/>
        </w:rPr>
        <w:t>Pasal</w:t>
      </w:r>
      <w:proofErr w:type="spellEnd"/>
      <w:r>
        <w:rPr>
          <w:rFonts w:ascii="Calibri" w:hAnsi="Calibri" w:cs="Calibri"/>
        </w:rPr>
        <w:t xml:space="preserve"> 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361"/>
    <w:multiLevelType w:val="hybridMultilevel"/>
    <w:tmpl w:val="061E01F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0078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641B"/>
    <w:multiLevelType w:val="hybridMultilevel"/>
    <w:tmpl w:val="BCF8216C"/>
    <w:lvl w:ilvl="0" w:tplc="930CA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152AE"/>
    <w:multiLevelType w:val="hybridMultilevel"/>
    <w:tmpl w:val="9432B6E6"/>
    <w:lvl w:ilvl="0" w:tplc="73B6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BFA31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C3F6B"/>
    <w:multiLevelType w:val="hybridMultilevel"/>
    <w:tmpl w:val="292858E0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6D6B"/>
    <w:multiLevelType w:val="hybridMultilevel"/>
    <w:tmpl w:val="CDE0B6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1FC5"/>
    <w:multiLevelType w:val="hybridMultilevel"/>
    <w:tmpl w:val="FB14C38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31C8A"/>
    <w:multiLevelType w:val="hybridMultilevel"/>
    <w:tmpl w:val="99F6EDE8"/>
    <w:lvl w:ilvl="0" w:tplc="8ABCF30C">
      <w:start w:val="1"/>
      <w:numFmt w:val="decimal"/>
      <w:lvlText w:val="(%1)"/>
      <w:lvlJc w:val="left"/>
      <w:pPr>
        <w:ind w:left="820" w:hanging="4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C21"/>
    <w:multiLevelType w:val="hybridMultilevel"/>
    <w:tmpl w:val="4364AB54"/>
    <w:lvl w:ilvl="0" w:tplc="C28E7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229"/>
    <w:multiLevelType w:val="hybridMultilevel"/>
    <w:tmpl w:val="395AAD2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91A2E"/>
    <w:multiLevelType w:val="hybridMultilevel"/>
    <w:tmpl w:val="29261C98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6FE8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DF5"/>
    <w:multiLevelType w:val="hybridMultilevel"/>
    <w:tmpl w:val="B2AAC4BA"/>
    <w:lvl w:ilvl="0" w:tplc="4D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0730C"/>
    <w:multiLevelType w:val="hybridMultilevel"/>
    <w:tmpl w:val="1E5279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0BA20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F5A7E"/>
    <w:multiLevelType w:val="hybridMultilevel"/>
    <w:tmpl w:val="C188F2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A3AFC"/>
    <w:multiLevelType w:val="hybridMultilevel"/>
    <w:tmpl w:val="E174C7A0"/>
    <w:lvl w:ilvl="0" w:tplc="05D65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E1F29"/>
    <w:multiLevelType w:val="hybridMultilevel"/>
    <w:tmpl w:val="2BF0EB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1FB5"/>
    <w:multiLevelType w:val="hybridMultilevel"/>
    <w:tmpl w:val="499441D8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6C52"/>
    <w:multiLevelType w:val="hybridMultilevel"/>
    <w:tmpl w:val="C0B683A0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315EC"/>
    <w:multiLevelType w:val="hybridMultilevel"/>
    <w:tmpl w:val="948C3180"/>
    <w:lvl w:ilvl="0" w:tplc="30F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1B35"/>
    <w:multiLevelType w:val="hybridMultilevel"/>
    <w:tmpl w:val="B2923684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0E7D"/>
    <w:multiLevelType w:val="hybridMultilevel"/>
    <w:tmpl w:val="E9841D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0534A"/>
    <w:multiLevelType w:val="hybridMultilevel"/>
    <w:tmpl w:val="D916E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37239"/>
    <w:multiLevelType w:val="hybridMultilevel"/>
    <w:tmpl w:val="9946AF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30C37"/>
    <w:multiLevelType w:val="hybridMultilevel"/>
    <w:tmpl w:val="92D2FA42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85D0A"/>
    <w:multiLevelType w:val="hybridMultilevel"/>
    <w:tmpl w:val="A92A1AFA"/>
    <w:lvl w:ilvl="0" w:tplc="C6203E4E">
      <w:start w:val="1"/>
      <w:numFmt w:val="decimal"/>
      <w:lvlText w:val="(%1)"/>
      <w:lvlJc w:val="left"/>
      <w:pPr>
        <w:ind w:left="880" w:hanging="5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B3898"/>
    <w:multiLevelType w:val="hybridMultilevel"/>
    <w:tmpl w:val="B01A85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72D95"/>
    <w:multiLevelType w:val="hybridMultilevel"/>
    <w:tmpl w:val="DE96CDA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774C"/>
    <w:multiLevelType w:val="hybridMultilevel"/>
    <w:tmpl w:val="CEF0875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76C40"/>
    <w:multiLevelType w:val="hybridMultilevel"/>
    <w:tmpl w:val="8076AB0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F59D4"/>
    <w:multiLevelType w:val="hybridMultilevel"/>
    <w:tmpl w:val="71A41C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14BDE"/>
    <w:multiLevelType w:val="hybridMultilevel"/>
    <w:tmpl w:val="B726CE1E"/>
    <w:lvl w:ilvl="0" w:tplc="E4621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DF2739"/>
    <w:multiLevelType w:val="hybridMultilevel"/>
    <w:tmpl w:val="21FC04BA"/>
    <w:lvl w:ilvl="0" w:tplc="BDCA6834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22873"/>
    <w:multiLevelType w:val="hybridMultilevel"/>
    <w:tmpl w:val="DDAC8B1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3456F"/>
    <w:multiLevelType w:val="hybridMultilevel"/>
    <w:tmpl w:val="E8686DBA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B082C"/>
    <w:multiLevelType w:val="hybridMultilevel"/>
    <w:tmpl w:val="48183E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B584F65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51A1A"/>
    <w:multiLevelType w:val="hybridMultilevel"/>
    <w:tmpl w:val="6F0C9A04"/>
    <w:lvl w:ilvl="0" w:tplc="81D0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23FBF"/>
    <w:multiLevelType w:val="hybridMultilevel"/>
    <w:tmpl w:val="985EC274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05050"/>
    <w:multiLevelType w:val="hybridMultilevel"/>
    <w:tmpl w:val="9EA6D5B2"/>
    <w:lvl w:ilvl="0" w:tplc="D5BAD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DC15B1"/>
    <w:multiLevelType w:val="hybridMultilevel"/>
    <w:tmpl w:val="D3527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A37E1"/>
    <w:multiLevelType w:val="hybridMultilevel"/>
    <w:tmpl w:val="D5E8E32C"/>
    <w:lvl w:ilvl="0" w:tplc="E39ED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86091A"/>
    <w:multiLevelType w:val="hybridMultilevel"/>
    <w:tmpl w:val="E1260C8A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AA829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127AD"/>
    <w:multiLevelType w:val="hybridMultilevel"/>
    <w:tmpl w:val="89448DB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534AD"/>
    <w:multiLevelType w:val="hybridMultilevel"/>
    <w:tmpl w:val="7F9286D6"/>
    <w:lvl w:ilvl="0" w:tplc="D4CC1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D1321E"/>
    <w:multiLevelType w:val="hybridMultilevel"/>
    <w:tmpl w:val="23BEACAC"/>
    <w:lvl w:ilvl="0" w:tplc="1E2E4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51EE5"/>
    <w:multiLevelType w:val="hybridMultilevel"/>
    <w:tmpl w:val="0D5E2DD6"/>
    <w:lvl w:ilvl="0" w:tplc="9A34327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17"/>
  </w:num>
  <w:num w:numId="4">
    <w:abstractNumId w:val="21"/>
  </w:num>
  <w:num w:numId="5">
    <w:abstractNumId w:val="25"/>
  </w:num>
  <w:num w:numId="6">
    <w:abstractNumId w:val="18"/>
  </w:num>
  <w:num w:numId="7">
    <w:abstractNumId w:val="16"/>
  </w:num>
  <w:num w:numId="8">
    <w:abstractNumId w:val="6"/>
  </w:num>
  <w:num w:numId="9">
    <w:abstractNumId w:val="15"/>
  </w:num>
  <w:num w:numId="10">
    <w:abstractNumId w:val="26"/>
  </w:num>
  <w:num w:numId="11">
    <w:abstractNumId w:val="3"/>
  </w:num>
  <w:num w:numId="12">
    <w:abstractNumId w:val="40"/>
  </w:num>
  <w:num w:numId="13">
    <w:abstractNumId w:val="23"/>
  </w:num>
  <w:num w:numId="14">
    <w:abstractNumId w:val="14"/>
  </w:num>
  <w:num w:numId="15">
    <w:abstractNumId w:val="32"/>
  </w:num>
  <w:num w:numId="16">
    <w:abstractNumId w:val="9"/>
  </w:num>
  <w:num w:numId="17">
    <w:abstractNumId w:val="22"/>
  </w:num>
  <w:num w:numId="18">
    <w:abstractNumId w:val="27"/>
  </w:num>
  <w:num w:numId="19">
    <w:abstractNumId w:val="8"/>
  </w:num>
  <w:num w:numId="20">
    <w:abstractNumId w:val="43"/>
  </w:num>
  <w:num w:numId="21">
    <w:abstractNumId w:val="31"/>
  </w:num>
  <w:num w:numId="22">
    <w:abstractNumId w:val="30"/>
  </w:num>
  <w:num w:numId="23">
    <w:abstractNumId w:val="28"/>
  </w:num>
  <w:num w:numId="24">
    <w:abstractNumId w:val="34"/>
  </w:num>
  <w:num w:numId="25">
    <w:abstractNumId w:val="33"/>
  </w:num>
  <w:num w:numId="26">
    <w:abstractNumId w:val="19"/>
  </w:num>
  <w:num w:numId="27">
    <w:abstractNumId w:val="35"/>
  </w:num>
  <w:num w:numId="28">
    <w:abstractNumId w:val="0"/>
  </w:num>
  <w:num w:numId="29">
    <w:abstractNumId w:val="39"/>
  </w:num>
  <w:num w:numId="30">
    <w:abstractNumId w:val="12"/>
  </w:num>
  <w:num w:numId="31">
    <w:abstractNumId w:val="13"/>
  </w:num>
  <w:num w:numId="32">
    <w:abstractNumId w:val="29"/>
  </w:num>
  <w:num w:numId="33">
    <w:abstractNumId w:val="10"/>
  </w:num>
  <w:num w:numId="34">
    <w:abstractNumId w:val="1"/>
  </w:num>
  <w:num w:numId="35">
    <w:abstractNumId w:val="7"/>
  </w:num>
  <w:num w:numId="36">
    <w:abstractNumId w:val="38"/>
  </w:num>
  <w:num w:numId="37">
    <w:abstractNumId w:val="41"/>
  </w:num>
  <w:num w:numId="38">
    <w:abstractNumId w:val="36"/>
  </w:num>
  <w:num w:numId="39">
    <w:abstractNumId w:val="42"/>
  </w:num>
  <w:num w:numId="40">
    <w:abstractNumId w:val="2"/>
  </w:num>
  <w:num w:numId="41">
    <w:abstractNumId w:val="24"/>
  </w:num>
  <w:num w:numId="42">
    <w:abstractNumId w:val="4"/>
  </w:num>
  <w:num w:numId="43">
    <w:abstractNumId w:val="5"/>
  </w:num>
  <w:num w:numId="4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64569"/>
    <w:rsid w:val="00073285"/>
    <w:rsid w:val="000773FE"/>
    <w:rsid w:val="000842A0"/>
    <w:rsid w:val="00084429"/>
    <w:rsid w:val="00095706"/>
    <w:rsid w:val="000B6567"/>
    <w:rsid w:val="000D04A5"/>
    <w:rsid w:val="000F0EF6"/>
    <w:rsid w:val="001103BE"/>
    <w:rsid w:val="00113FE0"/>
    <w:rsid w:val="00121414"/>
    <w:rsid w:val="00127D6D"/>
    <w:rsid w:val="00146C62"/>
    <w:rsid w:val="0016164F"/>
    <w:rsid w:val="001639A6"/>
    <w:rsid w:val="00180C9C"/>
    <w:rsid w:val="001C53D5"/>
    <w:rsid w:val="001E287B"/>
    <w:rsid w:val="001E2D45"/>
    <w:rsid w:val="001F100B"/>
    <w:rsid w:val="0021190A"/>
    <w:rsid w:val="0022539A"/>
    <w:rsid w:val="00251128"/>
    <w:rsid w:val="0025239B"/>
    <w:rsid w:val="002804A5"/>
    <w:rsid w:val="00293C56"/>
    <w:rsid w:val="002A224A"/>
    <w:rsid w:val="002A4F02"/>
    <w:rsid w:val="002B3789"/>
    <w:rsid w:val="002B781C"/>
    <w:rsid w:val="002C2B7C"/>
    <w:rsid w:val="002D0563"/>
    <w:rsid w:val="002D1A60"/>
    <w:rsid w:val="002D1C69"/>
    <w:rsid w:val="002D5EFD"/>
    <w:rsid w:val="002D78EF"/>
    <w:rsid w:val="002E0D79"/>
    <w:rsid w:val="00312EC8"/>
    <w:rsid w:val="00336A66"/>
    <w:rsid w:val="00343A70"/>
    <w:rsid w:val="00360E04"/>
    <w:rsid w:val="00364447"/>
    <w:rsid w:val="00364512"/>
    <w:rsid w:val="0037028F"/>
    <w:rsid w:val="003711A0"/>
    <w:rsid w:val="00393CFB"/>
    <w:rsid w:val="003B0BFA"/>
    <w:rsid w:val="003B44CD"/>
    <w:rsid w:val="003C73F4"/>
    <w:rsid w:val="003E3B25"/>
    <w:rsid w:val="003E4F10"/>
    <w:rsid w:val="003F46AD"/>
    <w:rsid w:val="004021A9"/>
    <w:rsid w:val="00405DDE"/>
    <w:rsid w:val="0040793D"/>
    <w:rsid w:val="0045327E"/>
    <w:rsid w:val="00456FE7"/>
    <w:rsid w:val="00475EB4"/>
    <w:rsid w:val="0048295C"/>
    <w:rsid w:val="004843AB"/>
    <w:rsid w:val="0048568A"/>
    <w:rsid w:val="004949D9"/>
    <w:rsid w:val="0049546E"/>
    <w:rsid w:val="004F3C63"/>
    <w:rsid w:val="005074C1"/>
    <w:rsid w:val="00511C2C"/>
    <w:rsid w:val="0051505E"/>
    <w:rsid w:val="00521ED7"/>
    <w:rsid w:val="005236AF"/>
    <w:rsid w:val="005333D4"/>
    <w:rsid w:val="00533932"/>
    <w:rsid w:val="00536391"/>
    <w:rsid w:val="00557EAD"/>
    <w:rsid w:val="00585DB1"/>
    <w:rsid w:val="0059312A"/>
    <w:rsid w:val="0059680E"/>
    <w:rsid w:val="005A27C0"/>
    <w:rsid w:val="005A7F7E"/>
    <w:rsid w:val="005B1E7A"/>
    <w:rsid w:val="005C7974"/>
    <w:rsid w:val="005E287B"/>
    <w:rsid w:val="00603BC0"/>
    <w:rsid w:val="00640E08"/>
    <w:rsid w:val="0067459A"/>
    <w:rsid w:val="006C19C4"/>
    <w:rsid w:val="006E4FCA"/>
    <w:rsid w:val="00705DB1"/>
    <w:rsid w:val="00711746"/>
    <w:rsid w:val="00717B50"/>
    <w:rsid w:val="00721AF9"/>
    <w:rsid w:val="00724844"/>
    <w:rsid w:val="00725B46"/>
    <w:rsid w:val="007311F8"/>
    <w:rsid w:val="007440D2"/>
    <w:rsid w:val="007455E2"/>
    <w:rsid w:val="00751D36"/>
    <w:rsid w:val="007728E5"/>
    <w:rsid w:val="00774907"/>
    <w:rsid w:val="007767C6"/>
    <w:rsid w:val="00791D34"/>
    <w:rsid w:val="007B10E9"/>
    <w:rsid w:val="007C3DA8"/>
    <w:rsid w:val="007D0299"/>
    <w:rsid w:val="007E646B"/>
    <w:rsid w:val="007F112B"/>
    <w:rsid w:val="007F6B03"/>
    <w:rsid w:val="00813FCB"/>
    <w:rsid w:val="00816B29"/>
    <w:rsid w:val="00826337"/>
    <w:rsid w:val="00830B05"/>
    <w:rsid w:val="008355FF"/>
    <w:rsid w:val="008362E5"/>
    <w:rsid w:val="00843380"/>
    <w:rsid w:val="0084413D"/>
    <w:rsid w:val="008753A3"/>
    <w:rsid w:val="008771AF"/>
    <w:rsid w:val="00880CF0"/>
    <w:rsid w:val="00881FA2"/>
    <w:rsid w:val="00897B7A"/>
    <w:rsid w:val="008A7EAE"/>
    <w:rsid w:val="008B2146"/>
    <w:rsid w:val="008C29A4"/>
    <w:rsid w:val="008D23F3"/>
    <w:rsid w:val="008D78F3"/>
    <w:rsid w:val="008E06A2"/>
    <w:rsid w:val="008F2E11"/>
    <w:rsid w:val="008F3D4F"/>
    <w:rsid w:val="0090565C"/>
    <w:rsid w:val="009069A0"/>
    <w:rsid w:val="009104B9"/>
    <w:rsid w:val="009114FE"/>
    <w:rsid w:val="009155AF"/>
    <w:rsid w:val="009434FA"/>
    <w:rsid w:val="00962A1B"/>
    <w:rsid w:val="00970D1A"/>
    <w:rsid w:val="009A2023"/>
    <w:rsid w:val="009B274E"/>
    <w:rsid w:val="009B4EA7"/>
    <w:rsid w:val="009D21B1"/>
    <w:rsid w:val="009E6538"/>
    <w:rsid w:val="009E6928"/>
    <w:rsid w:val="009F4679"/>
    <w:rsid w:val="009F6352"/>
    <w:rsid w:val="00A03965"/>
    <w:rsid w:val="00A20228"/>
    <w:rsid w:val="00A22CFB"/>
    <w:rsid w:val="00A325CB"/>
    <w:rsid w:val="00A41524"/>
    <w:rsid w:val="00A41550"/>
    <w:rsid w:val="00A6411B"/>
    <w:rsid w:val="00A66D4D"/>
    <w:rsid w:val="00AA433B"/>
    <w:rsid w:val="00AA541B"/>
    <w:rsid w:val="00AB50F7"/>
    <w:rsid w:val="00AC36D1"/>
    <w:rsid w:val="00AD6D66"/>
    <w:rsid w:val="00AD7F1E"/>
    <w:rsid w:val="00AE1DF4"/>
    <w:rsid w:val="00AF5BBE"/>
    <w:rsid w:val="00B0048D"/>
    <w:rsid w:val="00B16259"/>
    <w:rsid w:val="00B226B0"/>
    <w:rsid w:val="00B252AC"/>
    <w:rsid w:val="00B30C5F"/>
    <w:rsid w:val="00B31D79"/>
    <w:rsid w:val="00B340CE"/>
    <w:rsid w:val="00B372C8"/>
    <w:rsid w:val="00B40FC7"/>
    <w:rsid w:val="00B444CE"/>
    <w:rsid w:val="00B44D3A"/>
    <w:rsid w:val="00B47781"/>
    <w:rsid w:val="00B57174"/>
    <w:rsid w:val="00B62C9F"/>
    <w:rsid w:val="00B655A9"/>
    <w:rsid w:val="00B77243"/>
    <w:rsid w:val="00B80F8F"/>
    <w:rsid w:val="00B83E03"/>
    <w:rsid w:val="00BB0280"/>
    <w:rsid w:val="00BC327E"/>
    <w:rsid w:val="00BD2948"/>
    <w:rsid w:val="00BE0B23"/>
    <w:rsid w:val="00BE5EF5"/>
    <w:rsid w:val="00BF3BEB"/>
    <w:rsid w:val="00C010E2"/>
    <w:rsid w:val="00C0238F"/>
    <w:rsid w:val="00C102A3"/>
    <w:rsid w:val="00C108F9"/>
    <w:rsid w:val="00C35B85"/>
    <w:rsid w:val="00C43631"/>
    <w:rsid w:val="00C45DC7"/>
    <w:rsid w:val="00C655F1"/>
    <w:rsid w:val="00C67F5A"/>
    <w:rsid w:val="00C87B5A"/>
    <w:rsid w:val="00C97220"/>
    <w:rsid w:val="00CB2803"/>
    <w:rsid w:val="00CB6753"/>
    <w:rsid w:val="00CD458C"/>
    <w:rsid w:val="00CF2E53"/>
    <w:rsid w:val="00CF329E"/>
    <w:rsid w:val="00D02ED8"/>
    <w:rsid w:val="00D32EB2"/>
    <w:rsid w:val="00D36025"/>
    <w:rsid w:val="00D47168"/>
    <w:rsid w:val="00D5592A"/>
    <w:rsid w:val="00D5667B"/>
    <w:rsid w:val="00D60AA7"/>
    <w:rsid w:val="00D617BA"/>
    <w:rsid w:val="00D86C14"/>
    <w:rsid w:val="00D911B1"/>
    <w:rsid w:val="00D95A89"/>
    <w:rsid w:val="00DA1062"/>
    <w:rsid w:val="00DA41B3"/>
    <w:rsid w:val="00DC4BC2"/>
    <w:rsid w:val="00DD3F24"/>
    <w:rsid w:val="00DD6A2A"/>
    <w:rsid w:val="00DF1116"/>
    <w:rsid w:val="00E011B8"/>
    <w:rsid w:val="00E02E62"/>
    <w:rsid w:val="00E23458"/>
    <w:rsid w:val="00E25C52"/>
    <w:rsid w:val="00E3144E"/>
    <w:rsid w:val="00E33EB4"/>
    <w:rsid w:val="00E34A31"/>
    <w:rsid w:val="00E370CB"/>
    <w:rsid w:val="00E41A23"/>
    <w:rsid w:val="00E51597"/>
    <w:rsid w:val="00E607D6"/>
    <w:rsid w:val="00E66F7E"/>
    <w:rsid w:val="00E76517"/>
    <w:rsid w:val="00E90C86"/>
    <w:rsid w:val="00E961A6"/>
    <w:rsid w:val="00EA6B6F"/>
    <w:rsid w:val="00EB0014"/>
    <w:rsid w:val="00EB3DD4"/>
    <w:rsid w:val="00EE03E7"/>
    <w:rsid w:val="00F1149F"/>
    <w:rsid w:val="00F242BA"/>
    <w:rsid w:val="00F26278"/>
    <w:rsid w:val="00F352AB"/>
    <w:rsid w:val="00F4332A"/>
    <w:rsid w:val="00F5138D"/>
    <w:rsid w:val="00F73F0D"/>
    <w:rsid w:val="00F74E03"/>
    <w:rsid w:val="00F80F3A"/>
    <w:rsid w:val="00FA6C94"/>
    <w:rsid w:val="00FB269C"/>
    <w:rsid w:val="00FD3EAB"/>
    <w:rsid w:val="00FE15FD"/>
    <w:rsid w:val="00FE2A6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9A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2E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EF6"/>
    <w:rPr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0F0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uarantb.com/ntb/2020/290601/Perbaikan.Jembatan.Putus.di.Bima.dan.Dompu.Segera.Tunt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arant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595A-DCFF-4FE4-8AF3-F4A583E3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Witdya Pangestika</cp:lastModifiedBy>
  <cp:revision>2</cp:revision>
  <cp:lastPrinted>2019-12-03T07:00:00Z</cp:lastPrinted>
  <dcterms:created xsi:type="dcterms:W3CDTF">2020-03-20T12:32:00Z</dcterms:created>
  <dcterms:modified xsi:type="dcterms:W3CDTF">2020-03-20T12:32:00Z</dcterms:modified>
</cp:coreProperties>
</file>