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3918" w14:textId="0012B80C" w:rsidR="00DD4EEA" w:rsidRDefault="00DD4EEA" w:rsidP="00DD4E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ID"/>
        </w:rPr>
      </w:pPr>
      <w:r w:rsidRPr="00DD4E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ID"/>
        </w:rPr>
        <w:t>SKEMA PENAWAR TERENDAH, PEMICU POTENSI PROYEK MANGKRAK</w:t>
      </w:r>
    </w:p>
    <w:p w14:paraId="692B4B8B" w14:textId="1F61E78D" w:rsidR="00DD4EEA" w:rsidRDefault="00DD4EEA" w:rsidP="00DD4E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ID"/>
        </w:rPr>
      </w:pPr>
      <w:r>
        <w:rPr>
          <w:noProof/>
        </w:rPr>
        <w:drawing>
          <wp:inline distT="0" distB="0" distL="0" distR="0" wp14:anchorId="6D3FB3E5" wp14:editId="7FD8131B">
            <wp:extent cx="4235450" cy="2115857"/>
            <wp:effectExtent l="0" t="0" r="0" b="0"/>
            <wp:docPr id="1" name="Picture 1" descr="Image result for Bendungan Mila dan Terowongan Interbasin Bendungan Rababaka Komple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ndungan Mila dan Terowongan Interbasin Bendungan Rababaka Komplek,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999" cy="213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CBFB4" w14:textId="59117F85" w:rsidR="00DD4EEA" w:rsidRPr="00DD4EEA" w:rsidRDefault="00DD4EEA" w:rsidP="00DD4E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Sumber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: </w:t>
      </w:r>
      <w:r w:rsidRPr="00DD4EEA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www.merdeka.com</w:t>
      </w:r>
    </w:p>
    <w:p w14:paraId="7A43B976" w14:textId="77777777" w:rsidR="00DD4EEA" w:rsidRPr="00DD4EEA" w:rsidRDefault="00DD4EEA" w:rsidP="00DD4E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59C12" w14:textId="1C300CA8" w:rsidR="00DD4EEA" w:rsidRPr="00DD4EEA" w:rsidRDefault="00DD4EEA" w:rsidP="00DD4EE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</w:t>
      </w:r>
      <w:r w:rsidRPr="00DD4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)</w:t>
      </w:r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–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Kejaksaan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Tinggi NTB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menyarankan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panitia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lelang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memprioritaskan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penawar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tertinggi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tiap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lelang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Penawaran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jadi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indikator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bonafiditas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perusahaan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Karena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selama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pengamatan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Kejaksaan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penawar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terendah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justru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jadi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pemicu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banyaknya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mangkrak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Ditemui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usai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menandatangani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kerjasama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Jamsostek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Selasa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10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Maret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2020, 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Kajati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 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Nanang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Sigit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Yulianto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gram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SH,MH</w:t>
      </w:r>
      <w:proofErr w:type="gram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menyarankan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panitia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lelang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maupun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Unit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Layanan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(ULP)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mengubah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pola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Selama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penawar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tertinggi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kalah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penawar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terendah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‘’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Tapi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terjadi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banyak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penawar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terendah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justeru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jadi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masalah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,’’ kata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Kajati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7BD5A012" w14:textId="1AD0DE31" w:rsidR="00DD4EEA" w:rsidRPr="00DD4EEA" w:rsidRDefault="00DD4EEA" w:rsidP="00DD4EE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Meski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aturan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membolehkan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penawar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terendah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memenangkan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lelang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berarti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jadi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prioritas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Motif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kontraktor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mengajukan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penawaran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perlu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dipertanyakan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‘’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Jangan-jangan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nanti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</w:t>
      </w:r>
      <w:r w:rsidRPr="00DD4E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D"/>
        </w:rPr>
        <w:t>mark up</w:t>
      </w:r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proofErr w:type="gram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 material</w:t>
      </w:r>
      <w:proofErr w:type="gram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dipakai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KW 2.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jadi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nanti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proyeknya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mangkrak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,’’ kata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Kajati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mencontohkan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Lonken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Cs yang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termasuk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dalamnya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Tampes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 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Pemenang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lelang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senilai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Rp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40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diduga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bonafid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karena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didukung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maintenance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memadai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saat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proofErr w:type="gram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pengerjaan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dua</w:t>
      </w:r>
      <w:proofErr w:type="spellEnd"/>
      <w:proofErr w:type="gram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unit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Akibatnya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hingga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kini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mangkrak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meyakini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penawar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tertinggi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menjadi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indikator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bonafiditas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sebuah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perusahaan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sehingga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layak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diprioritaskan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Perusahaan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kredibilitas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baik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mengajukan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penawaran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tertinggi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mengukur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baik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pekerjaannya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‘’</w:t>
      </w:r>
      <w:proofErr w:type="spellStart"/>
      <w:proofErr w:type="gram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Jadi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penawar</w:t>
      </w:r>
      <w:proofErr w:type="spellEnd"/>
      <w:proofErr w:type="gram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tertinggi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mengukur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baik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semua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perencanaannya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memang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harus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begitu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,’’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tandas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Kajati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7020D88D" w14:textId="77777777" w:rsidR="00DD4EEA" w:rsidRDefault="00DD4EEA" w:rsidP="00DD4EE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Inilah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selalu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disampaikannya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sejumlah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saat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melakukan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kunjungan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beberapa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waktu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lalu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proofErr w:type="gram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 para</w:t>
      </w:r>
      <w:proofErr w:type="gram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bupati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meminta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hal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jadi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pertimbangan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pembinaan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panitia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lelang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hingga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ULP, agar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memperhatikan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kapasitas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rekanan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Tapi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apapun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kualifikasi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kemampuan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perusahaan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terpenting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menurut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Kajati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kualitas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pekerjaan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Penawaran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tertinggi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rekanan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jadi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pertaruhan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kualitas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pekerjaan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baik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perlu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khawatir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pekerjaannya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diintai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Aparat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Penegak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Hukum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(APH),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karena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setiap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yang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pekerjaan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disentuh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penyelidikan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gram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‘</w:t>
      </w:r>
      <w:proofErr w:type="gram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’Yang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penting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jaga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kualitas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Kalau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</w:t>
      </w:r>
      <w:r w:rsidRPr="00DD4E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D"/>
        </w:rPr>
        <w:t>mark up</w:t>
      </w:r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kekurangan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spesifikasi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kami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tindak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,’’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tegasnya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Pada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kesempatan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Kajati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menjelaskan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upaya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pengawasan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pengamanan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strategis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nasional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nilai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Rp17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triliun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sebelumnya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didampingi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TP4D.  Salah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satunya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Bendungan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Rababaka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Kompleks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bernilai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triliunan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rupiah. 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Jumat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(6/3)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lalu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Kajati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bersama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rombongan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meninjau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pekerjaan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multiyears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rampung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tersebut.</w:t>
      </w:r>
      <w:proofErr w:type="spellEnd"/>
    </w:p>
    <w:p w14:paraId="1C66C4D4" w14:textId="09D36E26" w:rsidR="00DD4EEA" w:rsidRPr="00DD4EEA" w:rsidRDefault="00DD4EEA" w:rsidP="00DD4EE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Pada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kesempatan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Kajati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menyampaikan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Bupati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Dompu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H. Bambang Yasin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bersama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jajarannya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bahwa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Kejaksaan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berperan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Pengamanan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Pembangunan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Strategis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(PPS),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baik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nasional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maupun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Salah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satu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fungsi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dalamnya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adalah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pencegahan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tindak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pidana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korupsi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Hal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disampaikan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saat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bertemu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pihak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Satker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SNVT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Jaringan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Pemanfaatan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Air BWS Nusa Tenggara I,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ketika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Kajati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meninjau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Bendungan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Mila dan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Terowongan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Interbasin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Bendungan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Rababaka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proofErr w:type="gram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Komplek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 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Dompu</w:t>
      </w:r>
      <w:proofErr w:type="spellEnd"/>
      <w:proofErr w:type="gram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Sebelumnya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salah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satu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pendampingan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TP4D yang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kini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dilanjutkan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tim</w:t>
      </w:r>
      <w:proofErr w:type="spellEnd"/>
      <w:r w:rsidRPr="00DD4EE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PPS.</w:t>
      </w:r>
      <w:r w:rsidRPr="00DD4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 (</w:t>
      </w:r>
      <w:proofErr w:type="spellStart"/>
      <w:r w:rsidRPr="00DD4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ars</w:t>
      </w:r>
      <w:proofErr w:type="spellEnd"/>
      <w:r w:rsidRPr="00DD4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)</w:t>
      </w:r>
    </w:p>
    <w:p w14:paraId="2D99C704" w14:textId="76073AA8" w:rsid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24827" w14:textId="07EBEDD2" w:rsidR="00DD4EEA" w:rsidRP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DD4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DD4E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D366F19" w14:textId="7A08D9DC" w:rsid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D4EEA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https://www.suarantb.com/ntb/2020/290615/Skema.Penawar.Terendah,Pemicu.Potensi.Proyek.Mangkrak/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09AD691" w14:textId="77777777" w:rsid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51FE8" w14:textId="457127F9" w:rsidR="00DD4EEA" w:rsidRP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r w:rsidRPr="00DD4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DD4E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50F1EA" w14:textId="77777777" w:rsidR="00DD4EEA" w:rsidRP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LKPP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terminologi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pemutusan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>:</w:t>
      </w:r>
    </w:p>
    <w:p w14:paraId="785D840F" w14:textId="77777777" w:rsidR="00DD4EEA" w:rsidRPr="00DD4EEA" w:rsidRDefault="00DD4EEA" w:rsidP="00DD4EE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</w:p>
    <w:p w14:paraId="1FA3DF8B" w14:textId="11FBF721" w:rsidR="00DD4EEA" w:rsidRP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kahar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kahar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Penandatangan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keadaan</w:t>
      </w:r>
      <w:proofErr w:type="spellEnd"/>
    </w:p>
    <w:p w14:paraId="6CC3A14C" w14:textId="77777777" w:rsidR="00DD4EEA" w:rsidRP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kahar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>:</w:t>
      </w:r>
    </w:p>
    <w:p w14:paraId="280FDD97" w14:textId="1F723E59" w:rsidR="00DD4EEA" w:rsidRPr="00DD4EEA" w:rsidRDefault="00DD4EEA" w:rsidP="00DD4EE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Kahar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48A1D6E3" w14:textId="1B25B567" w:rsidR="00DD4EEA" w:rsidRPr="00DD4EEA" w:rsidRDefault="00DD4EEA" w:rsidP="00DD4EE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kahar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diselesaikannya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>.</w:t>
      </w:r>
    </w:p>
    <w:p w14:paraId="115A9898" w14:textId="2DD9BF40" w:rsidR="00DD4EEA" w:rsidRP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dihentikan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kahar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EE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p w14:paraId="5B9CB5EA" w14:textId="3FEF8B19" w:rsid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A">
        <w:rPr>
          <w:rFonts w:ascii="Times New Roman" w:hAnsi="Times New Roman" w:cs="Times New Roman"/>
          <w:sz w:val="24"/>
          <w:szCs w:val="24"/>
        </w:rPr>
        <w:t>audit.</w:t>
      </w:r>
    </w:p>
    <w:p w14:paraId="63B8045D" w14:textId="77777777" w:rsidR="00DD4EEA" w:rsidRP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BC2C7" w14:textId="77777777" w:rsidR="00DD4EEA" w:rsidRPr="00DD4EEA" w:rsidRDefault="00DD4EEA" w:rsidP="00DD4EE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</w:p>
    <w:p w14:paraId="20A0285F" w14:textId="42B8BB2D" w:rsidR="00DD4EEA" w:rsidRP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EE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Terpenuhinya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EE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100% (</w:t>
      </w:r>
      <w:r>
        <w:rPr>
          <w:rFonts w:ascii="Times New Roman" w:hAnsi="Times New Roman" w:cs="Times New Roman"/>
          <w:sz w:val="24"/>
          <w:szCs w:val="24"/>
        </w:rPr>
        <w:t xml:space="preserve">serratus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EE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oleh PPK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4EEA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proofErr w:type="gram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ataupembayaran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>.</w:t>
      </w:r>
    </w:p>
    <w:p w14:paraId="24016C6E" w14:textId="77777777" w:rsid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97BBC" w14:textId="43F18829" w:rsidR="00DD4EEA" w:rsidRPr="00DD4EEA" w:rsidRDefault="00DD4EEA" w:rsidP="00DD4EE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Pemutusan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</w:p>
    <w:p w14:paraId="440D3A0D" w14:textId="1021D2AF" w:rsidR="00DD4EEA" w:rsidRP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Pemutusan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mengakhiri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berlakunya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alasan</w:t>
      </w:r>
      <w:proofErr w:type="spellEnd"/>
    </w:p>
    <w:p w14:paraId="1B101FB3" w14:textId="0EAB4E66" w:rsidR="00DD4EEA" w:rsidRP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Pemutusan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Penandatangan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>:</w:t>
      </w:r>
    </w:p>
    <w:p w14:paraId="226BD7AD" w14:textId="5AB67439" w:rsidR="00DD4EEA" w:rsidRPr="00582547" w:rsidRDefault="00DD4EEA" w:rsidP="0058254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lastRenderedPageBreak/>
        <w:t>Penyedia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KKN,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pemalsuan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r w:rsidRPr="00582547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diputuskan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.</w:t>
      </w:r>
    </w:p>
    <w:p w14:paraId="33F912FC" w14:textId="775792B3" w:rsidR="00DD4EEA" w:rsidRPr="00582547" w:rsidRDefault="00DD4EEA" w:rsidP="0058254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KKN dan/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;</w:t>
      </w:r>
    </w:p>
    <w:p w14:paraId="755A0AE9" w14:textId="0E4B6E9C" w:rsidR="00DD4EEA" w:rsidRPr="00582547" w:rsidRDefault="00DD4EEA" w:rsidP="0058254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pailit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;</w:t>
      </w:r>
    </w:p>
    <w:p w14:paraId="2A09624E" w14:textId="21D3D329" w:rsidR="00DD4EEA" w:rsidRPr="00582547" w:rsidRDefault="00DD4EEA" w:rsidP="0058254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penandatangan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;</w:t>
      </w:r>
    </w:p>
    <w:p w14:paraId="20746F16" w14:textId="2AC70C96" w:rsidR="00DD4EEA" w:rsidRPr="00582547" w:rsidRDefault="00DD4EEA" w:rsidP="0058254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) kali;</w:t>
      </w:r>
    </w:p>
    <w:p w14:paraId="2DD66F9E" w14:textId="7CF9C880" w:rsidR="00DD4EEA" w:rsidRPr="00582547" w:rsidRDefault="00DD4EEA" w:rsidP="0058254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berlakunya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;</w:t>
      </w:r>
    </w:p>
    <w:p w14:paraId="7E84CC8F" w14:textId="4757F245" w:rsidR="00DD4EEA" w:rsidRPr="00582547" w:rsidRDefault="00DD4EEA" w:rsidP="0058254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lalai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cidera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kelalaiannya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;</w:t>
      </w:r>
    </w:p>
    <w:p w14:paraId="35E8FBF1" w14:textId="62F25E48" w:rsidR="00DD4EEA" w:rsidRPr="00582547" w:rsidRDefault="00DD4EEA" w:rsidP="0058254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Penandatangan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50 (lima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;</w:t>
      </w:r>
    </w:p>
    <w:p w14:paraId="3347D11D" w14:textId="13D4488E" w:rsidR="00DD4EEA" w:rsidRPr="00582547" w:rsidRDefault="00DD4EEA" w:rsidP="0058254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50</w:t>
      </w:r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r w:rsidRPr="00582547">
        <w:rPr>
          <w:rFonts w:ascii="Times New Roman" w:hAnsi="Times New Roman" w:cs="Times New Roman"/>
          <w:sz w:val="24"/>
          <w:szCs w:val="24"/>
        </w:rPr>
        <w:t xml:space="preserve">(lima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,</w:t>
      </w:r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6E36C4DC" w14:textId="25F555C7" w:rsidR="00DD4EEA" w:rsidRPr="00582547" w:rsidRDefault="00DD4EEA" w:rsidP="0058254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menghentikan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.</w:t>
      </w:r>
    </w:p>
    <w:p w14:paraId="720F2AA8" w14:textId="77777777" w:rsidR="00DD4EEA" w:rsidRP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B12B9" w14:textId="77777777" w:rsidR="00DD4EEA" w:rsidRP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pemutusan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>:</w:t>
      </w:r>
    </w:p>
    <w:p w14:paraId="51EF9910" w14:textId="0D949A5F" w:rsidR="00DD4EEA" w:rsidRPr="00582547" w:rsidRDefault="00DD4EEA" w:rsidP="0058254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dicairkan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;</w:t>
      </w:r>
    </w:p>
    <w:p w14:paraId="155CC27A" w14:textId="474F56BC" w:rsidR="00DD4EEA" w:rsidRPr="00582547" w:rsidRDefault="00DD4EEA" w:rsidP="0058254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dilunasi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dicairkan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); dan</w:t>
      </w:r>
    </w:p>
    <w:p w14:paraId="229D8948" w14:textId="4781B204" w:rsidR="00DD4EEA" w:rsidRPr="00582547" w:rsidRDefault="00DD4EEA" w:rsidP="0058254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.</w:t>
      </w:r>
    </w:p>
    <w:p w14:paraId="11FA12A7" w14:textId="77777777" w:rsid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5319F" w14:textId="3E8BD404" w:rsidR="00DD4EEA" w:rsidRP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pemutusan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sepihak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Penandatangan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Pokja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14:paraId="38214A2F" w14:textId="704EF5F1" w:rsidR="00DD4EEA" w:rsidRP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lastRenderedPageBreak/>
        <w:t>menunjuk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>.</w:t>
      </w:r>
    </w:p>
    <w:p w14:paraId="0A0F0536" w14:textId="77777777" w:rsid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7C689" w14:textId="203E1DEE" w:rsidR="00DD4EEA" w:rsidRPr="00DD4EEA" w:rsidRDefault="00DD4EEA" w:rsidP="00DD4EE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Kesempatan</w:t>
      </w:r>
      <w:proofErr w:type="spellEnd"/>
    </w:p>
    <w:p w14:paraId="71EF89BA" w14:textId="6241B3BD" w:rsidR="00DD4EEA" w:rsidRPr="00DD4EEA" w:rsidRDefault="00DD4EEA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Penandatangan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Penandatangan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adendum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>).</w:t>
      </w:r>
      <w:r w:rsid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82547">
        <w:rPr>
          <w:rFonts w:ascii="Times New Roman" w:hAnsi="Times New Roman" w:cs="Times New Roman"/>
          <w:sz w:val="24"/>
          <w:szCs w:val="24"/>
        </w:rPr>
        <w:t xml:space="preserve"> </w:t>
      </w:r>
      <w:r w:rsidRPr="00DD4EEA">
        <w:rPr>
          <w:rFonts w:ascii="Times New Roman" w:hAnsi="Times New Roman" w:cs="Times New Roman"/>
          <w:sz w:val="24"/>
          <w:szCs w:val="24"/>
        </w:rPr>
        <w:t xml:space="preserve">50 (lima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>.</w:t>
      </w:r>
      <w:r w:rsid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>.</w:t>
      </w:r>
    </w:p>
    <w:p w14:paraId="4B115362" w14:textId="77777777" w:rsidR="00582547" w:rsidRDefault="00582547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39D0F" w14:textId="0D993EF7" w:rsidR="00DD4EEA" w:rsidRPr="00582547" w:rsidRDefault="00DD4EEA" w:rsidP="0058254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Rugi</w:t>
      </w:r>
      <w:proofErr w:type="spellEnd"/>
    </w:p>
    <w:p w14:paraId="2A79182F" w14:textId="77777777" w:rsidR="00582547" w:rsidRPr="00AE4293" w:rsidRDefault="00582547" w:rsidP="0058254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293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cidera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wanprestasi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Cidera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wanprestasi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dicairkan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kualitasnya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audit, dan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>.</w:t>
      </w:r>
    </w:p>
    <w:p w14:paraId="02A18850" w14:textId="77777777" w:rsidR="00582547" w:rsidRPr="00AE4293" w:rsidRDefault="00582547" w:rsidP="0058254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293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>:</w:t>
      </w:r>
    </w:p>
    <w:p w14:paraId="09F7123F" w14:textId="77777777" w:rsidR="00582547" w:rsidRPr="00090598" w:rsidRDefault="00582547" w:rsidP="0058254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598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dicairkan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kualitasnya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audit.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>.</w:t>
      </w:r>
    </w:p>
    <w:p w14:paraId="6683C2AB" w14:textId="77777777" w:rsidR="00582547" w:rsidRPr="00090598" w:rsidRDefault="00582547" w:rsidP="0058254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598">
        <w:rPr>
          <w:rFonts w:ascii="Times New Roman" w:hAnsi="Times New Roman" w:cs="Times New Roman"/>
          <w:sz w:val="24"/>
          <w:szCs w:val="24"/>
        </w:rPr>
        <w:lastRenderedPageBreak/>
        <w:t>Denda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>:</w:t>
      </w:r>
    </w:p>
    <w:p w14:paraId="67D00B67" w14:textId="77777777" w:rsidR="00582547" w:rsidRPr="00090598" w:rsidRDefault="00582547" w:rsidP="0058254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98">
        <w:rPr>
          <w:rFonts w:ascii="Times New Roman" w:hAnsi="Times New Roman" w:cs="Times New Roman"/>
          <w:sz w:val="24"/>
          <w:szCs w:val="24"/>
        </w:rPr>
        <w:t>1‰ (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permil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) per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pemilihan</w:t>
      </w:r>
      <w:proofErr w:type="spellEnd"/>
    </w:p>
    <w:p w14:paraId="3352518D" w14:textId="77777777" w:rsidR="00582547" w:rsidRDefault="00582547" w:rsidP="0058254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98">
        <w:rPr>
          <w:rFonts w:ascii="Times New Roman" w:hAnsi="Times New Roman" w:cs="Times New Roman"/>
          <w:sz w:val="24"/>
          <w:szCs w:val="24"/>
        </w:rPr>
        <w:t>1‰ (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permil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) per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>.</w:t>
      </w:r>
    </w:p>
    <w:p w14:paraId="780F4D9C" w14:textId="77777777" w:rsidR="00582547" w:rsidRPr="006E3CC6" w:rsidRDefault="00582547" w:rsidP="0058254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6"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>.</w:t>
      </w:r>
    </w:p>
    <w:p w14:paraId="528E5CEA" w14:textId="77777777" w:rsidR="00582547" w:rsidRDefault="00582547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E7E56" w14:textId="1723DB8D" w:rsidR="00DD4EEA" w:rsidRPr="00582547" w:rsidRDefault="00DD4EEA" w:rsidP="00DD4EE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No. 16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RI,</w:t>
      </w:r>
      <w:r w:rsid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RI.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penuntutan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”.</w:t>
      </w:r>
    </w:p>
    <w:p w14:paraId="68516662" w14:textId="77777777" w:rsidR="00DD4EEA" w:rsidRPr="00DD4EEA" w:rsidRDefault="00DD4EEA" w:rsidP="0058254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4EE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D4EEA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DD4EEA">
        <w:rPr>
          <w:rFonts w:ascii="Times New Roman" w:hAnsi="Times New Roman" w:cs="Times New Roman"/>
          <w:sz w:val="24"/>
          <w:szCs w:val="24"/>
        </w:rPr>
        <w:t>:</w:t>
      </w:r>
    </w:p>
    <w:p w14:paraId="15D19FD6" w14:textId="73A1C500" w:rsidR="00DD4EEA" w:rsidRPr="00582547" w:rsidRDefault="00DD4EEA" w:rsidP="00582547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penuntutan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;</w:t>
      </w:r>
    </w:p>
    <w:p w14:paraId="2550355A" w14:textId="7AEFA8A7" w:rsidR="00DD4EEA" w:rsidRPr="00582547" w:rsidRDefault="00DD4EEA" w:rsidP="00582547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hakim dan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82547"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;</w:t>
      </w:r>
    </w:p>
    <w:p w14:paraId="695DA247" w14:textId="111D74CC" w:rsidR="00DD4EEA" w:rsidRPr="00582547" w:rsidRDefault="00DD4EEA" w:rsidP="00582547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bersyarat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,</w:t>
      </w:r>
      <w:r w:rsidR="00582547"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bersyarat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;</w:t>
      </w:r>
    </w:p>
    <w:p w14:paraId="2B1FB395" w14:textId="68228B36" w:rsidR="00DD4EEA" w:rsidRPr="00582547" w:rsidRDefault="00DD4EEA" w:rsidP="00582547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;</w:t>
      </w:r>
    </w:p>
    <w:p w14:paraId="3724D42C" w14:textId="6740D75D" w:rsidR="00DD4EEA" w:rsidRPr="00582547" w:rsidRDefault="00DD4EEA" w:rsidP="00582547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82547"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dilimpahkan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82547"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dikoordinasikan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547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582547">
        <w:rPr>
          <w:rFonts w:ascii="Times New Roman" w:hAnsi="Times New Roman" w:cs="Times New Roman"/>
          <w:sz w:val="24"/>
          <w:szCs w:val="24"/>
        </w:rPr>
        <w:t>.</w:t>
      </w:r>
    </w:p>
    <w:p w14:paraId="49A8B265" w14:textId="77777777" w:rsidR="00E51597" w:rsidRPr="00DD4EEA" w:rsidRDefault="00E51597" w:rsidP="00DD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D8EB7" w14:textId="77777777" w:rsidR="00582547" w:rsidRPr="00DD4EEA" w:rsidRDefault="00582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2547" w:rsidRPr="00DD4EEA" w:rsidSect="00360E04">
      <w:footerReference w:type="default" r:id="rId10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C4E06" w14:textId="77777777" w:rsidR="009749F2" w:rsidRDefault="009749F2" w:rsidP="00B83E03">
      <w:pPr>
        <w:spacing w:after="0" w:line="240" w:lineRule="auto"/>
      </w:pPr>
      <w:r>
        <w:separator/>
      </w:r>
    </w:p>
  </w:endnote>
  <w:endnote w:type="continuationSeparator" w:id="0">
    <w:p w14:paraId="4A85E04D" w14:textId="77777777" w:rsidR="009749F2" w:rsidRDefault="009749F2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0A9BAF29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771AF" w:rsidRPr="008771AF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FD1C" w14:textId="77777777" w:rsidR="009749F2" w:rsidRDefault="009749F2" w:rsidP="00B83E03">
      <w:pPr>
        <w:spacing w:after="0" w:line="240" w:lineRule="auto"/>
      </w:pPr>
      <w:r>
        <w:separator/>
      </w:r>
    </w:p>
  </w:footnote>
  <w:footnote w:type="continuationSeparator" w:id="0">
    <w:p w14:paraId="4E2E2382" w14:textId="77777777" w:rsidR="009749F2" w:rsidRDefault="009749F2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BA3"/>
    <w:multiLevelType w:val="hybridMultilevel"/>
    <w:tmpl w:val="D67AAD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1DCA"/>
    <w:multiLevelType w:val="hybridMultilevel"/>
    <w:tmpl w:val="CA268B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430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1060"/>
    <w:multiLevelType w:val="hybridMultilevel"/>
    <w:tmpl w:val="DFAEB61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020E"/>
    <w:multiLevelType w:val="hybridMultilevel"/>
    <w:tmpl w:val="617C588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7E5"/>
    <w:multiLevelType w:val="hybridMultilevel"/>
    <w:tmpl w:val="0F0A63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522A"/>
    <w:multiLevelType w:val="hybridMultilevel"/>
    <w:tmpl w:val="B5DA22C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51776"/>
    <w:multiLevelType w:val="hybridMultilevel"/>
    <w:tmpl w:val="6B96C1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6878"/>
    <w:multiLevelType w:val="hybridMultilevel"/>
    <w:tmpl w:val="FD02D896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8406B"/>
    <w:multiLevelType w:val="hybridMultilevel"/>
    <w:tmpl w:val="1B84D7BC"/>
    <w:lvl w:ilvl="0" w:tplc="229E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20EF6A">
      <w:start w:val="1"/>
      <w:numFmt w:val="decimal"/>
      <w:lvlText w:val="(%2)"/>
      <w:lvlJc w:val="left"/>
      <w:pPr>
        <w:ind w:left="1530" w:hanging="45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262D3"/>
    <w:multiLevelType w:val="hybridMultilevel"/>
    <w:tmpl w:val="401E215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94726F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3915"/>
    <w:multiLevelType w:val="hybridMultilevel"/>
    <w:tmpl w:val="229ACFB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57B41"/>
    <w:multiLevelType w:val="hybridMultilevel"/>
    <w:tmpl w:val="6C30073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331D1"/>
    <w:multiLevelType w:val="hybridMultilevel"/>
    <w:tmpl w:val="D8525296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E53AA"/>
    <w:multiLevelType w:val="hybridMultilevel"/>
    <w:tmpl w:val="C77EE1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43BD5"/>
    <w:multiLevelType w:val="hybridMultilevel"/>
    <w:tmpl w:val="2EFCE8B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B569B"/>
    <w:multiLevelType w:val="hybridMultilevel"/>
    <w:tmpl w:val="A6A0D25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073CE"/>
    <w:multiLevelType w:val="hybridMultilevel"/>
    <w:tmpl w:val="D128783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764F6"/>
    <w:multiLevelType w:val="hybridMultilevel"/>
    <w:tmpl w:val="D58262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D1CA8"/>
    <w:multiLevelType w:val="hybridMultilevel"/>
    <w:tmpl w:val="55EA7D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2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18"/>
  </w:num>
  <w:num w:numId="10">
    <w:abstractNumId w:val="13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16"/>
  </w:num>
  <w:num w:numId="17">
    <w:abstractNumId w:val="9"/>
  </w:num>
  <w:num w:numId="18">
    <w:abstractNumId w:val="17"/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2A0"/>
    <w:rsid w:val="00084429"/>
    <w:rsid w:val="00095706"/>
    <w:rsid w:val="000B6567"/>
    <w:rsid w:val="000D04A5"/>
    <w:rsid w:val="000F0EF6"/>
    <w:rsid w:val="001103BE"/>
    <w:rsid w:val="00113FE0"/>
    <w:rsid w:val="00121414"/>
    <w:rsid w:val="00127D6D"/>
    <w:rsid w:val="00146C62"/>
    <w:rsid w:val="0016164F"/>
    <w:rsid w:val="001639A6"/>
    <w:rsid w:val="00180C9C"/>
    <w:rsid w:val="001C53D5"/>
    <w:rsid w:val="001E287B"/>
    <w:rsid w:val="001E2D45"/>
    <w:rsid w:val="001F100B"/>
    <w:rsid w:val="0021190A"/>
    <w:rsid w:val="00251128"/>
    <w:rsid w:val="0025239B"/>
    <w:rsid w:val="002804A5"/>
    <w:rsid w:val="00293C56"/>
    <w:rsid w:val="002A224A"/>
    <w:rsid w:val="002A4F02"/>
    <w:rsid w:val="002B3789"/>
    <w:rsid w:val="002B781C"/>
    <w:rsid w:val="002C2B7C"/>
    <w:rsid w:val="002D0563"/>
    <w:rsid w:val="002D1A60"/>
    <w:rsid w:val="002D1C69"/>
    <w:rsid w:val="002D5EFD"/>
    <w:rsid w:val="002D78EF"/>
    <w:rsid w:val="002E0D79"/>
    <w:rsid w:val="00312EC8"/>
    <w:rsid w:val="003313FF"/>
    <w:rsid w:val="00336A66"/>
    <w:rsid w:val="00343A70"/>
    <w:rsid w:val="00360E04"/>
    <w:rsid w:val="00364447"/>
    <w:rsid w:val="00364512"/>
    <w:rsid w:val="0037028F"/>
    <w:rsid w:val="003711A0"/>
    <w:rsid w:val="00393CFB"/>
    <w:rsid w:val="003B0BFA"/>
    <w:rsid w:val="003B44CD"/>
    <w:rsid w:val="003C73F4"/>
    <w:rsid w:val="003E3B25"/>
    <w:rsid w:val="003E4F10"/>
    <w:rsid w:val="003F46AD"/>
    <w:rsid w:val="004021A9"/>
    <w:rsid w:val="00405DDE"/>
    <w:rsid w:val="0040793D"/>
    <w:rsid w:val="0045327E"/>
    <w:rsid w:val="00456FE7"/>
    <w:rsid w:val="00475EB4"/>
    <w:rsid w:val="0048295C"/>
    <w:rsid w:val="004843AB"/>
    <w:rsid w:val="0048568A"/>
    <w:rsid w:val="004949D9"/>
    <w:rsid w:val="0049546E"/>
    <w:rsid w:val="004F3C63"/>
    <w:rsid w:val="005074C1"/>
    <w:rsid w:val="00511C2C"/>
    <w:rsid w:val="0051505E"/>
    <w:rsid w:val="00521ED7"/>
    <w:rsid w:val="005236AF"/>
    <w:rsid w:val="005333D4"/>
    <w:rsid w:val="00533932"/>
    <w:rsid w:val="00536391"/>
    <w:rsid w:val="00550F15"/>
    <w:rsid w:val="00557EAD"/>
    <w:rsid w:val="00582547"/>
    <w:rsid w:val="00585DB1"/>
    <w:rsid w:val="0059312A"/>
    <w:rsid w:val="0059680E"/>
    <w:rsid w:val="005A27C0"/>
    <w:rsid w:val="005A7F7E"/>
    <w:rsid w:val="005B1E7A"/>
    <w:rsid w:val="005C7974"/>
    <w:rsid w:val="005E287B"/>
    <w:rsid w:val="00603BC0"/>
    <w:rsid w:val="00640E08"/>
    <w:rsid w:val="0067459A"/>
    <w:rsid w:val="006C19C4"/>
    <w:rsid w:val="006E4FCA"/>
    <w:rsid w:val="00705DB1"/>
    <w:rsid w:val="00711746"/>
    <w:rsid w:val="00717B50"/>
    <w:rsid w:val="00721AF9"/>
    <w:rsid w:val="00724844"/>
    <w:rsid w:val="00725B46"/>
    <w:rsid w:val="007311F8"/>
    <w:rsid w:val="007440D2"/>
    <w:rsid w:val="007455E2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3FCB"/>
    <w:rsid w:val="00816B29"/>
    <w:rsid w:val="00826337"/>
    <w:rsid w:val="00830B05"/>
    <w:rsid w:val="008355FF"/>
    <w:rsid w:val="008362E5"/>
    <w:rsid w:val="00843380"/>
    <w:rsid w:val="0084413D"/>
    <w:rsid w:val="00845157"/>
    <w:rsid w:val="008753A3"/>
    <w:rsid w:val="008771AF"/>
    <w:rsid w:val="00880CF0"/>
    <w:rsid w:val="00881FA2"/>
    <w:rsid w:val="00897B7A"/>
    <w:rsid w:val="008A7EAE"/>
    <w:rsid w:val="008B2146"/>
    <w:rsid w:val="008C29A4"/>
    <w:rsid w:val="008D78F3"/>
    <w:rsid w:val="008E06A2"/>
    <w:rsid w:val="008F2E11"/>
    <w:rsid w:val="008F3D4F"/>
    <w:rsid w:val="0090565C"/>
    <w:rsid w:val="009069A0"/>
    <w:rsid w:val="009104B9"/>
    <w:rsid w:val="009114FE"/>
    <w:rsid w:val="009155AF"/>
    <w:rsid w:val="009434FA"/>
    <w:rsid w:val="00962A1B"/>
    <w:rsid w:val="00970D1A"/>
    <w:rsid w:val="009749F2"/>
    <w:rsid w:val="009A2023"/>
    <w:rsid w:val="009B274E"/>
    <w:rsid w:val="009B4EA7"/>
    <w:rsid w:val="009D21B1"/>
    <w:rsid w:val="009E6538"/>
    <w:rsid w:val="009E6928"/>
    <w:rsid w:val="009F4679"/>
    <w:rsid w:val="009F6352"/>
    <w:rsid w:val="00A03965"/>
    <w:rsid w:val="00A20228"/>
    <w:rsid w:val="00A22CFB"/>
    <w:rsid w:val="00A325CB"/>
    <w:rsid w:val="00A41524"/>
    <w:rsid w:val="00A41550"/>
    <w:rsid w:val="00A6411B"/>
    <w:rsid w:val="00A66D4D"/>
    <w:rsid w:val="00AA433B"/>
    <w:rsid w:val="00AA541B"/>
    <w:rsid w:val="00AB50F7"/>
    <w:rsid w:val="00AC36D1"/>
    <w:rsid w:val="00AD6D66"/>
    <w:rsid w:val="00AD7F1E"/>
    <w:rsid w:val="00AE1DF4"/>
    <w:rsid w:val="00AF5BBE"/>
    <w:rsid w:val="00B0048D"/>
    <w:rsid w:val="00B16259"/>
    <w:rsid w:val="00B226B0"/>
    <w:rsid w:val="00B252AC"/>
    <w:rsid w:val="00B30C5F"/>
    <w:rsid w:val="00B31D79"/>
    <w:rsid w:val="00B340CE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F8F"/>
    <w:rsid w:val="00B83E03"/>
    <w:rsid w:val="00BB0280"/>
    <w:rsid w:val="00BC327E"/>
    <w:rsid w:val="00BD2948"/>
    <w:rsid w:val="00BE0B23"/>
    <w:rsid w:val="00BE5EF5"/>
    <w:rsid w:val="00BF3BEB"/>
    <w:rsid w:val="00C010E2"/>
    <w:rsid w:val="00C0238F"/>
    <w:rsid w:val="00C102A3"/>
    <w:rsid w:val="00C108F9"/>
    <w:rsid w:val="00C35B85"/>
    <w:rsid w:val="00C43631"/>
    <w:rsid w:val="00C45DC7"/>
    <w:rsid w:val="00C655F1"/>
    <w:rsid w:val="00C67F5A"/>
    <w:rsid w:val="00C87B5A"/>
    <w:rsid w:val="00C97220"/>
    <w:rsid w:val="00CB2803"/>
    <w:rsid w:val="00CB6753"/>
    <w:rsid w:val="00CD458C"/>
    <w:rsid w:val="00CF2E53"/>
    <w:rsid w:val="00CF329E"/>
    <w:rsid w:val="00D02ED8"/>
    <w:rsid w:val="00D32EB2"/>
    <w:rsid w:val="00D36025"/>
    <w:rsid w:val="00D47168"/>
    <w:rsid w:val="00D5592A"/>
    <w:rsid w:val="00D5667B"/>
    <w:rsid w:val="00D60AA7"/>
    <w:rsid w:val="00D617BA"/>
    <w:rsid w:val="00D63ECA"/>
    <w:rsid w:val="00D86C14"/>
    <w:rsid w:val="00D911B1"/>
    <w:rsid w:val="00D95A89"/>
    <w:rsid w:val="00DA1062"/>
    <w:rsid w:val="00DA41B3"/>
    <w:rsid w:val="00DA6F2B"/>
    <w:rsid w:val="00DC4BC2"/>
    <w:rsid w:val="00DD3F24"/>
    <w:rsid w:val="00DD4EEA"/>
    <w:rsid w:val="00DD6A2A"/>
    <w:rsid w:val="00DF1116"/>
    <w:rsid w:val="00E011B8"/>
    <w:rsid w:val="00E02E62"/>
    <w:rsid w:val="00E23458"/>
    <w:rsid w:val="00E25C52"/>
    <w:rsid w:val="00E3144E"/>
    <w:rsid w:val="00E33EB4"/>
    <w:rsid w:val="00E34A31"/>
    <w:rsid w:val="00E370CB"/>
    <w:rsid w:val="00E41A23"/>
    <w:rsid w:val="00E51597"/>
    <w:rsid w:val="00E607D6"/>
    <w:rsid w:val="00E66F7E"/>
    <w:rsid w:val="00E76517"/>
    <w:rsid w:val="00E90C86"/>
    <w:rsid w:val="00E961A6"/>
    <w:rsid w:val="00EA6B6F"/>
    <w:rsid w:val="00EB0014"/>
    <w:rsid w:val="00EB3DD4"/>
    <w:rsid w:val="00EE03E7"/>
    <w:rsid w:val="00F1149F"/>
    <w:rsid w:val="00F26278"/>
    <w:rsid w:val="00F352AB"/>
    <w:rsid w:val="00F4332A"/>
    <w:rsid w:val="00F5138D"/>
    <w:rsid w:val="00F73F0D"/>
    <w:rsid w:val="00F74E03"/>
    <w:rsid w:val="00F80F3A"/>
    <w:rsid w:val="00FA6C94"/>
    <w:rsid w:val="00FB269C"/>
    <w:rsid w:val="00FD3EAB"/>
    <w:rsid w:val="00FE15FD"/>
    <w:rsid w:val="00FE2A65"/>
    <w:rsid w:val="00FE7E0F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EA"/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2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F6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F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arantb.com/ntb/2020/290615/Skema.Penawar.Terendah,Pemicu.Potensi.Proyek.Mangkr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C10B-EC02-499C-A8D8-D214AB38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Witdya Pangestika</cp:lastModifiedBy>
  <cp:revision>2</cp:revision>
  <cp:lastPrinted>2019-12-03T07:00:00Z</cp:lastPrinted>
  <dcterms:created xsi:type="dcterms:W3CDTF">2020-03-21T04:23:00Z</dcterms:created>
  <dcterms:modified xsi:type="dcterms:W3CDTF">2020-03-21T04:23:00Z</dcterms:modified>
</cp:coreProperties>
</file>