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5B33" w14:textId="64AA4C23" w:rsidR="0032213C" w:rsidRPr="00A268A3" w:rsidRDefault="0032213C" w:rsidP="00976F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</w:pPr>
      <w:bookmarkStart w:id="0" w:name="_Hlk15496870"/>
      <w:r w:rsidRPr="003221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KASUS DANA BOS SDN 2 BAYAN, POLISI BELUM TETAPKAN TERSANGKA</w:t>
      </w:r>
    </w:p>
    <w:p w14:paraId="4E598362" w14:textId="77777777" w:rsidR="00976F83" w:rsidRDefault="00976F83" w:rsidP="00F9011F">
      <w:pPr>
        <w:spacing w:before="100" w:beforeAutospacing="1" w:after="100" w:afterAutospacing="1" w:line="240" w:lineRule="auto"/>
        <w:outlineLvl w:val="0"/>
        <w:rPr>
          <w:b/>
          <w:bCs/>
          <w:noProof/>
          <w:kern w:val="36"/>
          <w:sz w:val="32"/>
          <w:szCs w:val="32"/>
          <w:lang w:eastAsia="id-ID"/>
        </w:rPr>
      </w:pPr>
    </w:p>
    <w:bookmarkEnd w:id="0"/>
    <w:p w14:paraId="3AAF1D54" w14:textId="64F0D4EF" w:rsidR="0032213C" w:rsidRDefault="0032213C" w:rsidP="00976F83">
      <w:pPr>
        <w:spacing w:line="360" w:lineRule="auto"/>
        <w:jc w:val="both"/>
      </w:pPr>
    </w:p>
    <w:p w14:paraId="0625CBF7" w14:textId="730E6EDC" w:rsidR="0032213C" w:rsidRDefault="0032213C" w:rsidP="00976F83">
      <w:pPr>
        <w:spacing w:line="360" w:lineRule="auto"/>
        <w:jc w:val="both"/>
      </w:pPr>
    </w:p>
    <w:p w14:paraId="0BBFED9A" w14:textId="5D0AF433" w:rsidR="0032213C" w:rsidRDefault="0032213C" w:rsidP="00976F83">
      <w:pPr>
        <w:spacing w:line="360" w:lineRule="auto"/>
        <w:jc w:val="both"/>
      </w:pPr>
    </w:p>
    <w:p w14:paraId="08473EC5" w14:textId="303FB0CF" w:rsidR="0032213C" w:rsidRDefault="0032213C" w:rsidP="00976F83">
      <w:pPr>
        <w:spacing w:line="360" w:lineRule="auto"/>
        <w:jc w:val="both"/>
      </w:pPr>
    </w:p>
    <w:p w14:paraId="166EB33E" w14:textId="77777777" w:rsidR="0032213C" w:rsidRDefault="0032213C" w:rsidP="00976F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5E9FB10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MATARAM—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Progres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penanganan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dugaan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korupsi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Operasional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Sekolah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(BOS) SDN 2 Bayan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bagus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Polres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Lombok Utara (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Lotara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menaikkan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status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penaganan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tingkat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 “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,” kata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Kasatreskrim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Polres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Lotara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AKP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Elyas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Ericson,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Kamis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(5/3).</w:t>
      </w:r>
    </w:p>
    <w:p w14:paraId="6C516EB9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Kendati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menetapkan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tersangka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”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proofErr w:type="gram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,”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jelasnya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0B11AE37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Penetapan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tersangka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bakal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disimpulkan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meminta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audit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Pemeriksa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Keuangan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Pembangunan (BPKP). </w:t>
      </w:r>
      <w:proofErr w:type="gram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”Kita</w:t>
      </w:r>
      <w:proofErr w:type="gram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tunggu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dulu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BPKP,”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ujarnya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05522F6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menemukan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melawan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pertanggungjawaban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sebagian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diduga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direkayasa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”LPJ</w:t>
      </w:r>
      <w:proofErr w:type="gram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,”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ungkapnya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D2B0CF0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Dari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penyelidikan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ditemukan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pemalsuan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dokumen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nota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pembayaran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fiktif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ajaran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 dan 2018. Dari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perhitungan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sebanyak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100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proofErr w:type="gram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</w:t>
      </w:r>
      <w:proofErr w:type="gram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mampu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dipertanggungjawabkan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”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proofErr w:type="gram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koordinasi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BPKP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menguatkan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,”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jelasnya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79C174D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Total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yang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dikelola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sekolah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330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 dan 2018.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Anggarannya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disalurkan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per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triwulan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A369CB8" w14:textId="77777777" w:rsidR="0032213C" w:rsidRPr="0032213C" w:rsidRDefault="0032213C" w:rsidP="003221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Triwulan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disalurkan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33,2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triwulan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66,5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;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triwulan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33,2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terakhir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Rp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35,4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Di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sekolah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216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2018.</w:t>
      </w:r>
    </w:p>
    <w:p w14:paraId="0EC8792A" w14:textId="2FDF1449" w:rsidR="0032213C" w:rsidRDefault="0032213C" w:rsidP="00976F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program.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perpustakaan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buku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teks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buku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kurikulum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ekstrakurikuler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evaluasi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pemeliharaan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prasarana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sarana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sekolah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pembayaran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honor, dan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pembelian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alat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multimedia 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. (</w:t>
      </w:r>
      <w:proofErr w:type="spellStart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arl</w:t>
      </w:r>
      <w:proofErr w:type="spellEnd"/>
      <w:r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/r2)</w:t>
      </w:r>
    </w:p>
    <w:p w14:paraId="661689CB" w14:textId="77777777" w:rsidR="00976F83" w:rsidRDefault="00976F83" w:rsidP="00976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2254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B222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5B11248" w14:textId="4646E9B4" w:rsidR="00976F83" w:rsidRPr="0032213C" w:rsidRDefault="003422F8" w:rsidP="003221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3422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>https://lombokpost.jawapos.com</w:t>
      </w:r>
      <w:r w:rsidRPr="003422F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/</w:t>
      </w:r>
      <w:r w:rsidR="00976F83" w:rsidRPr="00585DB1">
        <w:rPr>
          <w:i/>
          <w:iCs/>
          <w:u w:val="single"/>
          <w:lang w:eastAsia="id-ID"/>
        </w:rPr>
        <w:t>,</w:t>
      </w:r>
      <w:r w:rsidR="00976F83" w:rsidRPr="004208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r w:rsidR="00A702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proofErr w:type="gramEnd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</w:t>
      </w:r>
      <w:bookmarkStart w:id="1" w:name="_GoBack"/>
      <w:bookmarkEnd w:id="1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DN</w:t>
      </w:r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 Bayan, </w:t>
      </w:r>
      <w:proofErr w:type="spellStart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Polisi</w:t>
      </w:r>
      <w:proofErr w:type="spellEnd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Tetapkan</w:t>
      </w:r>
      <w:proofErr w:type="spellEnd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2213C" w:rsidRP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Tersangka</w:t>
      </w:r>
      <w:proofErr w:type="spellEnd"/>
      <w:r w:rsidR="00976F83" w:rsidRPr="00585DB1">
        <w:rPr>
          <w:lang w:eastAsia="id-ID"/>
        </w:rPr>
        <w:t xml:space="preserve">, </w:t>
      </w:r>
      <w:r w:rsid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7 </w:t>
      </w:r>
      <w:proofErr w:type="spellStart"/>
      <w:r w:rsid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>Maret</w:t>
      </w:r>
      <w:proofErr w:type="spellEnd"/>
      <w:r w:rsidR="003221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2020</w:t>
      </w:r>
      <w:r w:rsidR="00976F83" w:rsidRPr="00675685">
        <w:rPr>
          <w:rFonts w:ascii="Times New Roman" w:eastAsia="Times New Roman" w:hAnsi="Times New Roman" w:cs="Times New Roman"/>
          <w:sz w:val="24"/>
          <w:szCs w:val="24"/>
          <w:lang w:eastAsia="id-ID"/>
        </w:rPr>
        <w:t>;</w:t>
      </w:r>
    </w:p>
    <w:p w14:paraId="2709C6C2" w14:textId="77777777" w:rsidR="00976F83" w:rsidRPr="0059680E" w:rsidRDefault="00976F83" w:rsidP="00976F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2254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B222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AC9DD5D" w14:textId="48D47A97" w:rsidR="00083DD1" w:rsidRDefault="003F32E3" w:rsidP="003F32E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83DD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1</w:t>
      </w:r>
      <w:r w:rsid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083DD1">
        <w:rPr>
          <w:rFonts w:ascii="Times New Roman" w:hAnsi="Times New Roman" w:cs="Times New Roman"/>
          <w:sz w:val="24"/>
          <w:szCs w:val="24"/>
        </w:rPr>
        <w:t xml:space="preserve"> 3</w:t>
      </w:r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83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non personalia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>.</w:t>
      </w:r>
    </w:p>
    <w:p w14:paraId="67F68407" w14:textId="4D270D5F" w:rsidR="00083DD1" w:rsidRPr="00083DD1" w:rsidRDefault="003F32E3" w:rsidP="003F32E3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r w:rsidR="00083DD1" w:rsidRPr="00083DD1">
        <w:rPr>
          <w:rFonts w:ascii="Times New Roman" w:hAnsi="Times New Roman" w:cs="Times New Roman"/>
          <w:sz w:val="24"/>
          <w:szCs w:val="24"/>
        </w:rPr>
        <w:t xml:space="preserve">Dana BOS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DD1" w:rsidRPr="00083DD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3DD1" w:rsidRPr="00083DD1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5EAE3F99" w14:textId="77777777" w:rsidR="00083DD1" w:rsidRDefault="00083DD1" w:rsidP="00083DD1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DD1">
        <w:rPr>
          <w:rFonts w:ascii="Times New Roman" w:hAnsi="Times New Roman" w:cs="Times New Roman"/>
          <w:sz w:val="24"/>
          <w:szCs w:val="24"/>
        </w:rPr>
        <w:t>SD;</w:t>
      </w:r>
    </w:p>
    <w:p w14:paraId="54D9B30B" w14:textId="77777777" w:rsidR="00083DD1" w:rsidRDefault="00083DD1" w:rsidP="00083DD1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DD1">
        <w:rPr>
          <w:rFonts w:ascii="Times New Roman" w:hAnsi="Times New Roman" w:cs="Times New Roman"/>
          <w:sz w:val="24"/>
          <w:szCs w:val="24"/>
        </w:rPr>
        <w:t>SMP;</w:t>
      </w:r>
    </w:p>
    <w:p w14:paraId="2C7D93DA" w14:textId="77777777" w:rsidR="00083DD1" w:rsidRDefault="00083DD1" w:rsidP="00083DD1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DD1">
        <w:rPr>
          <w:rFonts w:ascii="Times New Roman" w:hAnsi="Times New Roman" w:cs="Times New Roman"/>
          <w:sz w:val="24"/>
          <w:szCs w:val="24"/>
        </w:rPr>
        <w:t>SMA ;</w:t>
      </w:r>
      <w:proofErr w:type="gramEnd"/>
    </w:p>
    <w:p w14:paraId="51650492" w14:textId="77777777" w:rsidR="00083DD1" w:rsidRDefault="00083DD1" w:rsidP="00083DD1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DD1">
        <w:rPr>
          <w:rFonts w:ascii="Times New Roman" w:hAnsi="Times New Roman" w:cs="Times New Roman"/>
          <w:sz w:val="24"/>
          <w:szCs w:val="24"/>
        </w:rPr>
        <w:t>SMK; dan</w:t>
      </w:r>
    </w:p>
    <w:p w14:paraId="29115000" w14:textId="5E71B597" w:rsidR="00083DD1" w:rsidRPr="00083DD1" w:rsidRDefault="00083DD1" w:rsidP="00083DD1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DD1">
        <w:rPr>
          <w:rFonts w:ascii="Times New Roman" w:hAnsi="Times New Roman" w:cs="Times New Roman"/>
          <w:sz w:val="24"/>
          <w:szCs w:val="24"/>
        </w:rPr>
        <w:t>SDLB/SMPLB/SMALB/SLB.</w:t>
      </w:r>
    </w:p>
    <w:p w14:paraId="5A8856A4" w14:textId="18326CE4" w:rsidR="00083DD1" w:rsidRDefault="00083DD1" w:rsidP="003F3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D1">
        <w:rPr>
          <w:rFonts w:ascii="Times New Roman" w:hAnsi="Times New Roman" w:cs="Times New Roman"/>
          <w:sz w:val="24"/>
          <w:szCs w:val="24"/>
        </w:rPr>
        <w:t xml:space="preserve">Dana BOS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BOS</w:t>
      </w:r>
      <w:r w:rsidR="003F32E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BOS.</w:t>
      </w:r>
    </w:p>
    <w:p w14:paraId="09CD9E44" w14:textId="0D3482B4" w:rsidR="00D51BA0" w:rsidRDefault="003F32E3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D51BA0"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51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BA0" w:rsidRPr="00D51BA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51BA0" w:rsidRPr="00D51BA0">
        <w:rPr>
          <w:rFonts w:ascii="Times New Roman" w:hAnsi="Times New Roman" w:cs="Times New Roman"/>
          <w:sz w:val="24"/>
          <w:szCs w:val="24"/>
        </w:rPr>
        <w:t xml:space="preserve"> BOS</w:t>
      </w:r>
      <w:r w:rsid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A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>:</w:t>
      </w:r>
    </w:p>
    <w:p w14:paraId="69B7DB3A" w14:textId="77777777" w:rsidR="00D51BA0" w:rsidRDefault="00D51BA0" w:rsidP="00D51BA0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pada</w:t>
      </w:r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r w:rsidRPr="00D51BA0">
        <w:rPr>
          <w:rFonts w:ascii="Times New Roman" w:hAnsi="Times New Roman" w:cs="Times New Roman"/>
          <w:sz w:val="24"/>
          <w:szCs w:val="24"/>
        </w:rPr>
        <w:t xml:space="preserve">SD/SDLB/SMP/SMPLB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dana BOS; b.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SD/SDLB/SMP/SMPLB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; c.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SD/SDLB/SMP/SMPLB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walinya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pada SD/SDLB/SMP/SMPLB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.</w:t>
      </w:r>
    </w:p>
    <w:p w14:paraId="5A1539A2" w14:textId="586142B1" w:rsidR="00D51BA0" w:rsidRPr="0057244A" w:rsidRDefault="00D51BA0" w:rsidP="0057244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D51BA0">
        <w:rPr>
          <w:rFonts w:ascii="Times New Roman" w:hAnsi="Times New Roman" w:cs="Times New Roman"/>
          <w:sz w:val="24"/>
          <w:szCs w:val="24"/>
        </w:rPr>
        <w:t xml:space="preserve">SMA/SMALB/SMK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dana BOS; b.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; c.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; d.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keberpihakan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Pusat (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affimative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action)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walinya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1BA0"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(fee waive) dan/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(discount fee)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di SMA/SMALB/SMK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; e.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(equal opportunity)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walinya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>.</w:t>
      </w:r>
    </w:p>
    <w:p w14:paraId="3076481E" w14:textId="77777777" w:rsidR="0057244A" w:rsidRDefault="00D51BA0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 w:rsidRPr="0057244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7244A" w:rsidRPr="0057244A">
        <w:rPr>
          <w:rFonts w:ascii="Times New Roman" w:hAnsi="Times New Roman" w:cs="Times New Roman"/>
          <w:sz w:val="24"/>
          <w:szCs w:val="24"/>
        </w:rPr>
        <w:t xml:space="preserve"> BOS di </w:t>
      </w:r>
      <w:proofErr w:type="spellStart"/>
      <w:r w:rsidR="0057244A"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7244A"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>:</w:t>
      </w:r>
    </w:p>
    <w:p w14:paraId="71C47D74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idasarkan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Tim BOS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, Dewan Guru,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03CD4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7244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proofErr w:type="gramEnd"/>
      <w:r w:rsidRPr="0057244A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Minimal (SPM) dan/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Nasional Pendidikan (SNP).</w:t>
      </w:r>
    </w:p>
    <w:p w14:paraId="739CD1E0" w14:textId="55268DF1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lastRenderedPageBreak/>
        <w:t>Penggunaan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.</w:t>
      </w:r>
    </w:p>
    <w:p w14:paraId="04B1A71E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Dana BOS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/semester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lain pada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/semester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 honor. </w:t>
      </w:r>
    </w:p>
    <w:p w14:paraId="14E787B5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EF109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EA196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>Bunga bank/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BOS di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FCD96" w14:textId="77777777" w:rsidR="0057244A" w:rsidRDefault="0057244A" w:rsidP="00280DA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BOS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:</w:t>
      </w:r>
    </w:p>
    <w:p w14:paraId="1F1861DA" w14:textId="77777777" w:rsidR="0057244A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dibungakan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D647C9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dipinjamkan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lain; </w:t>
      </w:r>
    </w:p>
    <w:p w14:paraId="69EA93AD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software/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C6EEBE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banding, tur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5E81FB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oleh UPTD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750471" w14:textId="77777777" w:rsidR="00D80D5F" w:rsidRP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bonus dan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guru;</w:t>
      </w:r>
      <w:r w:rsidRPr="0057244A">
        <w:t xml:space="preserve"> </w:t>
      </w:r>
    </w:p>
    <w:p w14:paraId="0B4BCF73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DF247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guru/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3A8622F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u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BFB010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pada SD/SMP yang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/WC dan/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C9CE65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(LKS) dan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5AAFD4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F46471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1E1AEB" w14:textId="77777777" w:rsidR="00D80D5F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lastRenderedPageBreak/>
        <w:t>membiayai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/acara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49441EE7" w14:textId="451F2012" w:rsidR="0057244A" w:rsidRPr="0057244A" w:rsidRDefault="0057244A" w:rsidP="00280DA4">
      <w:pPr>
        <w:pStyle w:val="ListParagraph"/>
        <w:numPr>
          <w:ilvl w:val="0"/>
          <w:numId w:val="28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program BOS/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program BOS yang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 xml:space="preserve"> Kementerian Pendidikan dan </w:t>
      </w:r>
      <w:proofErr w:type="spellStart"/>
      <w:r w:rsidRPr="00D80D5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D80D5F">
        <w:rPr>
          <w:rFonts w:ascii="Times New Roman" w:hAnsi="Times New Roman" w:cs="Times New Roman"/>
          <w:sz w:val="24"/>
          <w:szCs w:val="24"/>
        </w:rPr>
        <w:t>.</w:t>
      </w:r>
    </w:p>
    <w:p w14:paraId="3B5FF9E1" w14:textId="77777777" w:rsidR="0057244A" w:rsidRDefault="0057244A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A94E9A" w14:textId="77777777" w:rsidR="0057244A" w:rsidRDefault="0057244A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AB0A89" w14:textId="77777777" w:rsidR="0057244A" w:rsidRDefault="0057244A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5CB210" w14:textId="77777777" w:rsidR="0057244A" w:rsidRDefault="0057244A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B9A2FB" w14:textId="4DC01118" w:rsidR="0057244A" w:rsidRDefault="00D51BA0" w:rsidP="005724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1BA0">
        <w:rPr>
          <w:rFonts w:ascii="Times New Roman" w:hAnsi="Times New Roman" w:cs="Times New Roman"/>
          <w:sz w:val="24"/>
          <w:szCs w:val="24"/>
        </w:rPr>
        <w:t xml:space="preserve">BOS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RKUD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(wilayah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RKUD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semester pada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/semester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RKUN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RKUD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A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>:</w:t>
      </w:r>
    </w:p>
    <w:p w14:paraId="40EFE5C8" w14:textId="5B924A9E" w:rsidR="0057244A" w:rsidRDefault="00D51BA0" w:rsidP="0057244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36C96" w14:textId="77777777" w:rsid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20%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284306" w14:textId="77777777" w:rsid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40%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91654C" w14:textId="77777777" w:rsid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20%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dan </w:t>
      </w:r>
    </w:p>
    <w:p w14:paraId="1729B52B" w14:textId="77777777" w:rsid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20%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>.</w:t>
      </w:r>
    </w:p>
    <w:p w14:paraId="040AAAFC" w14:textId="77777777" w:rsidR="0057244A" w:rsidRDefault="00D51BA0" w:rsidP="0057244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semester </w:t>
      </w:r>
    </w:p>
    <w:p w14:paraId="19F7284B" w14:textId="77777777" w:rsid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Semester 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60%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EE75E4" w14:textId="40BC9B56" w:rsidR="003F32E3" w:rsidRPr="0057244A" w:rsidRDefault="00D51BA0" w:rsidP="005724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4A">
        <w:rPr>
          <w:rFonts w:ascii="Times New Roman" w:hAnsi="Times New Roman" w:cs="Times New Roman"/>
          <w:sz w:val="24"/>
          <w:szCs w:val="24"/>
        </w:rPr>
        <w:t xml:space="preserve">Semester II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40% (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7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7244A">
        <w:rPr>
          <w:rFonts w:ascii="Times New Roman" w:hAnsi="Times New Roman" w:cs="Times New Roman"/>
          <w:sz w:val="24"/>
          <w:szCs w:val="24"/>
        </w:rPr>
        <w:t>;</w:t>
      </w:r>
    </w:p>
    <w:p w14:paraId="21B1920F" w14:textId="46D524B8" w:rsidR="00083DD1" w:rsidRDefault="00083DD1" w:rsidP="00976F83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8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D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1AD96B" w14:textId="52A2CE1C" w:rsidR="00976F83" w:rsidRPr="00976F83" w:rsidRDefault="00976F83" w:rsidP="00976F83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76F83">
        <w:rPr>
          <w:rFonts w:ascii="Times New Roman" w:hAnsi="Times New Roman" w:cs="Times New Roman"/>
          <w:sz w:val="24"/>
          <w:szCs w:val="24"/>
        </w:rPr>
        <w:t>Reses 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 Masa Reses 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 di mana </w:t>
      </w:r>
      <w:hyperlink r:id="rId7" w:tooltip="DPR" w:history="1">
        <w:r w:rsidRPr="00976F83">
          <w:rPr>
            <w:rFonts w:ascii="Times New Roman" w:hAnsi="Times New Roman" w:cs="Times New Roman"/>
            <w:sz w:val="24"/>
            <w:szCs w:val="24"/>
          </w:rPr>
          <w:t>DPR</w:t>
        </w:r>
      </w:hyperlink>
      <w:r w:rsidRPr="00976F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 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fldChar w:fldCharType="begin"/>
      </w:r>
      <w:r w:rsidRPr="00976F83">
        <w:rPr>
          <w:rFonts w:ascii="Times New Roman" w:hAnsi="Times New Roman" w:cs="Times New Roman"/>
          <w:sz w:val="24"/>
          <w:szCs w:val="24"/>
        </w:rPr>
        <w:instrText xml:space="preserve"> HYPERLINK "https://id.wikipedia.org/w/index.php?title=Sidang&amp;action=edit&amp;redlink=1" \o "Sidang (halaman belum tersedia)" </w:instrText>
      </w:r>
      <w:r w:rsidRPr="00976F83">
        <w:rPr>
          <w:rFonts w:ascii="Times New Roman" w:hAnsi="Times New Roman" w:cs="Times New Roman"/>
          <w:sz w:val="24"/>
          <w:szCs w:val="24"/>
        </w:rPr>
        <w:fldChar w:fldCharType="separate"/>
      </w:r>
      <w:r w:rsidRPr="00976F8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fldChar w:fldCharType="end"/>
      </w:r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fldChar w:fldCharType="begin"/>
      </w:r>
      <w:r w:rsidRPr="00976F83">
        <w:rPr>
          <w:rFonts w:ascii="Times New Roman" w:hAnsi="Times New Roman" w:cs="Times New Roman"/>
          <w:sz w:val="24"/>
          <w:szCs w:val="24"/>
        </w:rPr>
        <w:instrText xml:space="preserve"> HYPERLINK "https://id.wikipedia.org/w/index.php?title=Gedung_DPR&amp;action=edit&amp;redlink=1" \o "Gedung DPR (halaman belum tersedia)" </w:instrText>
      </w:r>
      <w:r w:rsidRPr="00976F83">
        <w:rPr>
          <w:rFonts w:ascii="Times New Roman" w:hAnsi="Times New Roman" w:cs="Times New Roman"/>
          <w:sz w:val="24"/>
          <w:szCs w:val="24"/>
        </w:rPr>
        <w:fldChar w:fldCharType="separate"/>
      </w:r>
      <w:r w:rsidRPr="00976F83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</w:t>
      </w:r>
      <w:r w:rsidRPr="00976F83">
        <w:rPr>
          <w:rFonts w:ascii="Times New Roman" w:hAnsi="Times New Roman" w:cs="Times New Roman"/>
          <w:sz w:val="24"/>
          <w:szCs w:val="24"/>
        </w:rPr>
        <w:fldChar w:fldCharType="end"/>
      </w:r>
      <w:r w:rsidRPr="00976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. Masa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ditiadakan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</w:t>
      </w:r>
    </w:p>
    <w:p w14:paraId="4A13A8A6" w14:textId="78D91A61" w:rsidR="00976F83" w:rsidRPr="00976F83" w:rsidRDefault="00976F83" w:rsidP="00976F83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Rakyat Daerah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Dan Kota,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 reses </w:t>
      </w:r>
      <w:proofErr w:type="spellStart"/>
      <w:proofErr w:type="gramStart"/>
      <w:r w:rsidRPr="00976F8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 paling</w:t>
      </w:r>
      <w:proofErr w:type="gramEnd"/>
      <w:r w:rsidRPr="00976F83">
        <w:rPr>
          <w:rFonts w:ascii="Times New Roman" w:hAnsi="Times New Roman" w:cs="Times New Roman"/>
          <w:sz w:val="24"/>
          <w:szCs w:val="24"/>
        </w:rPr>
        <w:t xml:space="preserve"> lama 6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Hari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kali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; dan paling lama 8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Hari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kali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bercirikan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masareses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paling lama 6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Hari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.</w:t>
      </w:r>
    </w:p>
    <w:p w14:paraId="6F39CCC8" w14:textId="330ADCE1" w:rsidR="00976F83" w:rsidRPr="00976F83" w:rsidRDefault="00976F83" w:rsidP="00976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:</w:t>
      </w:r>
    </w:p>
    <w:p w14:paraId="177204C0" w14:textId="77777777" w:rsidR="00976F83" w:rsidRPr="00976F83" w:rsidRDefault="00976F83" w:rsidP="00976F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agenda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paling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D0967" w14:textId="77777777" w:rsidR="00976F83" w:rsidRPr="00976F83" w:rsidRDefault="00976F83" w:rsidP="00976F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F83">
        <w:rPr>
          <w:rFonts w:ascii="Times New Roman" w:hAnsi="Times New Roman" w:cs="Times New Roman"/>
          <w:sz w:val="24"/>
          <w:szCs w:val="24"/>
        </w:rPr>
        <w:t xml:space="preserve">Masa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Rakyat,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; b.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Daerah; c.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; dan d.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.</w:t>
      </w:r>
    </w:p>
    <w:p w14:paraId="36CE6B1E" w14:textId="77777777" w:rsidR="00976F83" w:rsidRPr="00976F83" w:rsidRDefault="00976F83" w:rsidP="00976F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DPRD, paling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reses; b.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; dan c.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>.</w:t>
      </w:r>
    </w:p>
    <w:p w14:paraId="27F0284E" w14:textId="77777777" w:rsidR="00976F83" w:rsidRPr="00976F83" w:rsidRDefault="00976F83" w:rsidP="00976F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DPRD yang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reses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89</w:t>
      </w:r>
    </w:p>
    <w:p w14:paraId="6E7DF2D9" w14:textId="589DE359" w:rsidR="00976F83" w:rsidRDefault="00976F83" w:rsidP="00A5057E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negara/</w:t>
      </w:r>
      <w:proofErr w:type="spellStart"/>
      <w:r w:rsidRPr="00976F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57E" w:rsidRPr="00A505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5057E"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57E" w:rsidRPr="00A5057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A5057E" w:rsidRPr="00A5057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A5057E" w:rsidRPr="00A5057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A5057E" w:rsidRPr="00A5057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Keuanga</w:t>
      </w:r>
      <w:r w:rsidR="00A5057E" w:rsidRPr="00A505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5057E" w:rsidRPr="00A5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Negara/Daerah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A5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57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57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57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“Yang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negara”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lastRenderedPageBreak/>
        <w:t>kerugian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57E"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 w:rsidRPr="00A5057E">
        <w:rPr>
          <w:rFonts w:ascii="Times New Roman" w:hAnsi="Times New Roman" w:cs="Times New Roman"/>
          <w:sz w:val="24"/>
          <w:szCs w:val="24"/>
        </w:rPr>
        <w:t>.”</w:t>
      </w:r>
    </w:p>
    <w:p w14:paraId="3B7C4873" w14:textId="31D7A1F7" w:rsidR="00B26296" w:rsidRPr="00B26296" w:rsidRDefault="00A5057E" w:rsidP="000C752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C75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C7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2F" w:rsidRPr="000C752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0C752F" w:rsidRPr="000C752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C752F" w:rsidRPr="000C752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0C752F" w:rsidRPr="000C752F">
        <w:rPr>
          <w:rFonts w:ascii="Times New Roman" w:hAnsi="Times New Roman" w:cs="Times New Roman"/>
          <w:sz w:val="24"/>
          <w:szCs w:val="24"/>
        </w:rPr>
        <w:t xml:space="preserve"> (1)</w:t>
      </w:r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29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negara/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 xml:space="preserve"> negara/</w:t>
      </w:r>
      <w:proofErr w:type="spellStart"/>
      <w:r w:rsidR="00B26296" w:rsidRPr="00B262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26296" w:rsidRPr="00B26296">
        <w:rPr>
          <w:rFonts w:ascii="Times New Roman" w:hAnsi="Times New Roman" w:cs="Times New Roman"/>
          <w:sz w:val="24"/>
          <w:szCs w:val="24"/>
        </w:rPr>
        <w:t>.</w:t>
      </w:r>
    </w:p>
    <w:p w14:paraId="75C551D8" w14:textId="77777777" w:rsidR="00B26296" w:rsidRDefault="00B26296" w:rsidP="00B26296">
      <w:pPr>
        <w:spacing w:after="0" w:line="360" w:lineRule="auto"/>
        <w:jc w:val="both"/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TPKN, TPKN,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26296">
        <w:rPr>
          <w:rFonts w:ascii="Times New Roman" w:hAnsi="Times New Roman" w:cs="Times New Roman"/>
          <w:sz w:val="24"/>
          <w:szCs w:val="24"/>
        </w:rPr>
        <w:t>bersangkutan.yang</w:t>
      </w:r>
      <w:proofErr w:type="spellEnd"/>
      <w:proofErr w:type="gram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t xml:space="preserve"> : </w:t>
      </w:r>
    </w:p>
    <w:p w14:paraId="5A9ABFDB" w14:textId="77777777" w:rsidR="00B26296" w:rsidRPr="00B26296" w:rsidRDefault="00B26296" w:rsidP="00B26296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kesekretariatan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badan-badan lain/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EE9949" w14:textId="77777777" w:rsidR="00B26296" w:rsidRPr="00B26296" w:rsidRDefault="00B26296" w:rsidP="00B26296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inspektur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internal/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inspektur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7A446E" w14:textId="77777777" w:rsidR="00B26296" w:rsidRPr="00B26296" w:rsidRDefault="00B26296" w:rsidP="00B26296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biro/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3FF476" w14:textId="77777777" w:rsidR="00B26296" w:rsidRPr="00B26296" w:rsidRDefault="00B26296" w:rsidP="00B26296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02C398" w14:textId="2CF0AD95" w:rsidR="00B26296" w:rsidRPr="00B26296" w:rsidRDefault="00B26296" w:rsidP="00B26296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>.</w:t>
      </w:r>
    </w:p>
    <w:p w14:paraId="3A2826DC" w14:textId="21AF5A10" w:rsidR="00B26296" w:rsidRDefault="00250F19" w:rsidP="00250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9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6296">
        <w:rPr>
          <w:rFonts w:ascii="Times New Roman" w:hAnsi="Times New Roman" w:cs="Times New Roman"/>
          <w:sz w:val="24"/>
          <w:szCs w:val="24"/>
        </w:rPr>
        <w:t xml:space="preserve"> TPKN </w:t>
      </w:r>
      <w:proofErr w:type="spellStart"/>
      <w:r w:rsidR="00B262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F1ECC30" w14:textId="5F0CD556" w:rsidR="00250F19" w:rsidRPr="00250F19" w:rsidRDefault="00250F19" w:rsidP="00250F19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TPKN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pembebanannya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oleh Badan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>.</w:t>
      </w:r>
    </w:p>
    <w:p w14:paraId="3A114672" w14:textId="77777777" w:rsidR="00250F19" w:rsidRDefault="00250F19" w:rsidP="00250F19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TPKN </w:t>
      </w:r>
      <w:proofErr w:type="spellStart"/>
      <w:proofErr w:type="gramStart"/>
      <w:r w:rsidRPr="00250F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8CE74" w14:textId="484DEEA3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menginventarisasi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2CA55C" w14:textId="35DE6535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negara; </w:t>
      </w:r>
    </w:p>
    <w:p w14:paraId="12264CF7" w14:textId="2FDD6F95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lastRenderedPageBreak/>
        <w:t>mengumpulkan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negara; </w:t>
      </w:r>
    </w:p>
    <w:p w14:paraId="16F1F023" w14:textId="5D0E6BFD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menginventarisasi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negara; </w:t>
      </w:r>
    </w:p>
    <w:p w14:paraId="4D7F39E7" w14:textId="0D519FFB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SKTJM; </w:t>
      </w:r>
    </w:p>
    <w:p w14:paraId="54445D90" w14:textId="0F731636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52EF73" w14:textId="4D27C7AB" w:rsidR="00250F19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menatausahakan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19C7EC13" w14:textId="1B364CCC" w:rsidR="00B26296" w:rsidRDefault="00250F19" w:rsidP="00250F19">
      <w:pPr>
        <w:pStyle w:val="ListParagraph"/>
        <w:numPr>
          <w:ilvl w:val="1"/>
          <w:numId w:val="2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1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1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50F19">
        <w:rPr>
          <w:rFonts w:ascii="Times New Roman" w:hAnsi="Times New Roman" w:cs="Times New Roman"/>
          <w:sz w:val="24"/>
          <w:szCs w:val="24"/>
        </w:rPr>
        <w:t>.</w:t>
      </w:r>
    </w:p>
    <w:p w14:paraId="2ADFD5DA" w14:textId="681BC4FD" w:rsidR="00B26296" w:rsidRDefault="00B26296" w:rsidP="00250F1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6111FA" w14:textId="02FB6529" w:rsidR="00B26296" w:rsidRDefault="00B26296" w:rsidP="000C752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64985C" w14:textId="0B35B953" w:rsidR="00B26296" w:rsidRDefault="00B26296" w:rsidP="000C752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135C98" w14:textId="2CD409D2" w:rsidR="00B26296" w:rsidRDefault="00B26296" w:rsidP="000C752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8977BB" w14:textId="77777777" w:rsidR="00B26296" w:rsidRDefault="00B26296" w:rsidP="000C752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26296" w:rsidSect="00360E04">
      <w:footerReference w:type="default" r:id="rId8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5EC8" w14:textId="77777777" w:rsidR="00CA2439" w:rsidRDefault="00CA2439" w:rsidP="00B83E03">
      <w:pPr>
        <w:spacing w:after="0" w:line="240" w:lineRule="auto"/>
      </w:pPr>
      <w:r>
        <w:separator/>
      </w:r>
    </w:p>
  </w:endnote>
  <w:endnote w:type="continuationSeparator" w:id="0">
    <w:p w14:paraId="4BCF66F2" w14:textId="77777777" w:rsidR="00CA2439" w:rsidRDefault="00CA2439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36C0" w14:textId="77777777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85DB1" w:rsidRPr="00585DB1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7584" w14:textId="77777777" w:rsidR="00CA2439" w:rsidRDefault="00CA2439" w:rsidP="00B83E03">
      <w:pPr>
        <w:spacing w:after="0" w:line="240" w:lineRule="auto"/>
      </w:pPr>
      <w:r>
        <w:separator/>
      </w:r>
    </w:p>
  </w:footnote>
  <w:footnote w:type="continuationSeparator" w:id="0">
    <w:p w14:paraId="7C699A93" w14:textId="77777777" w:rsidR="00CA2439" w:rsidRDefault="00CA2439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498"/>
    <w:multiLevelType w:val="hybridMultilevel"/>
    <w:tmpl w:val="805E21B8"/>
    <w:lvl w:ilvl="0" w:tplc="99364880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6750B5"/>
    <w:multiLevelType w:val="hybridMultilevel"/>
    <w:tmpl w:val="C89EE5B0"/>
    <w:lvl w:ilvl="0" w:tplc="23A4A74E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7E2245D"/>
    <w:multiLevelType w:val="hybridMultilevel"/>
    <w:tmpl w:val="2D8E1C42"/>
    <w:lvl w:ilvl="0" w:tplc="70E80D0C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B5AC6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753EB2"/>
    <w:multiLevelType w:val="hybridMultilevel"/>
    <w:tmpl w:val="D250F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5369"/>
    <w:multiLevelType w:val="hybridMultilevel"/>
    <w:tmpl w:val="A6BE4CFA"/>
    <w:lvl w:ilvl="0" w:tplc="919EECE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C938ED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607BE"/>
    <w:multiLevelType w:val="hybridMultilevel"/>
    <w:tmpl w:val="965E3958"/>
    <w:lvl w:ilvl="0" w:tplc="8C60E9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02EB7"/>
    <w:multiLevelType w:val="hybridMultilevel"/>
    <w:tmpl w:val="E4866C20"/>
    <w:lvl w:ilvl="0" w:tplc="993648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22CDE"/>
    <w:multiLevelType w:val="hybridMultilevel"/>
    <w:tmpl w:val="77D483E4"/>
    <w:lvl w:ilvl="0" w:tplc="963871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55D1F89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B361B3"/>
    <w:multiLevelType w:val="hybridMultilevel"/>
    <w:tmpl w:val="8B9A0C04"/>
    <w:lvl w:ilvl="0" w:tplc="6F102C22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B155C18"/>
    <w:multiLevelType w:val="hybridMultilevel"/>
    <w:tmpl w:val="F7B22CD2"/>
    <w:lvl w:ilvl="0" w:tplc="4F62E5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31A0197"/>
    <w:multiLevelType w:val="hybridMultilevel"/>
    <w:tmpl w:val="4F1E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11E3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A2587E"/>
    <w:multiLevelType w:val="hybridMultilevel"/>
    <w:tmpl w:val="69266E0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3653FA"/>
    <w:multiLevelType w:val="hybridMultilevel"/>
    <w:tmpl w:val="B818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57537"/>
    <w:multiLevelType w:val="hybridMultilevel"/>
    <w:tmpl w:val="E18E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181F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021F"/>
    <w:multiLevelType w:val="hybridMultilevel"/>
    <w:tmpl w:val="0CCADF2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53E556E"/>
    <w:multiLevelType w:val="hybridMultilevel"/>
    <w:tmpl w:val="9D86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69DD"/>
    <w:multiLevelType w:val="hybridMultilevel"/>
    <w:tmpl w:val="4724926E"/>
    <w:lvl w:ilvl="0" w:tplc="85CEA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A0A4EFC"/>
    <w:multiLevelType w:val="hybridMultilevel"/>
    <w:tmpl w:val="CDB4055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3C5925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CE56F3"/>
    <w:multiLevelType w:val="hybridMultilevel"/>
    <w:tmpl w:val="A8A6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149"/>
    <w:multiLevelType w:val="hybridMultilevel"/>
    <w:tmpl w:val="637AC11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31A0BB7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41475D0"/>
    <w:multiLevelType w:val="hybridMultilevel"/>
    <w:tmpl w:val="0794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17FF1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3"/>
  </w:num>
  <w:num w:numId="8">
    <w:abstractNumId w:val="27"/>
  </w:num>
  <w:num w:numId="9">
    <w:abstractNumId w:val="25"/>
  </w:num>
  <w:num w:numId="10">
    <w:abstractNumId w:val="6"/>
  </w:num>
  <w:num w:numId="11">
    <w:abstractNumId w:val="22"/>
  </w:num>
  <w:num w:numId="12">
    <w:abstractNumId w:val="10"/>
  </w:num>
  <w:num w:numId="13">
    <w:abstractNumId w:val="14"/>
  </w:num>
  <w:num w:numId="14">
    <w:abstractNumId w:val="1"/>
  </w:num>
  <w:num w:numId="15">
    <w:abstractNumId w:val="26"/>
  </w:num>
  <w:num w:numId="16">
    <w:abstractNumId w:val="13"/>
  </w:num>
  <w:num w:numId="17">
    <w:abstractNumId w:val="4"/>
  </w:num>
  <w:num w:numId="18">
    <w:abstractNumId w:val="16"/>
  </w:num>
  <w:num w:numId="19">
    <w:abstractNumId w:val="17"/>
  </w:num>
  <w:num w:numId="20">
    <w:abstractNumId w:val="19"/>
  </w:num>
  <w:num w:numId="21">
    <w:abstractNumId w:val="15"/>
  </w:num>
  <w:num w:numId="22">
    <w:abstractNumId w:val="23"/>
  </w:num>
  <w:num w:numId="23">
    <w:abstractNumId w:val="12"/>
  </w:num>
  <w:num w:numId="24">
    <w:abstractNumId w:val="0"/>
  </w:num>
  <w:num w:numId="25">
    <w:abstractNumId w:val="9"/>
  </w:num>
  <w:num w:numId="26">
    <w:abstractNumId w:val="11"/>
  </w:num>
  <w:num w:numId="27">
    <w:abstractNumId w:val="20"/>
  </w:num>
  <w:num w:numId="2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1342C"/>
    <w:rsid w:val="0004414E"/>
    <w:rsid w:val="00064569"/>
    <w:rsid w:val="00073285"/>
    <w:rsid w:val="000773FE"/>
    <w:rsid w:val="00081C7A"/>
    <w:rsid w:val="00083DD1"/>
    <w:rsid w:val="00084429"/>
    <w:rsid w:val="00095706"/>
    <w:rsid w:val="000B6567"/>
    <w:rsid w:val="000C752F"/>
    <w:rsid w:val="001103BE"/>
    <w:rsid w:val="00113FE0"/>
    <w:rsid w:val="00127D6D"/>
    <w:rsid w:val="00146C62"/>
    <w:rsid w:val="001F100B"/>
    <w:rsid w:val="0021190A"/>
    <w:rsid w:val="00250F19"/>
    <w:rsid w:val="00251128"/>
    <w:rsid w:val="0025239B"/>
    <w:rsid w:val="002804A5"/>
    <w:rsid w:val="00280DA4"/>
    <w:rsid w:val="00293C56"/>
    <w:rsid w:val="002A4F02"/>
    <w:rsid w:val="002B3789"/>
    <w:rsid w:val="002D0563"/>
    <w:rsid w:val="002D1A60"/>
    <w:rsid w:val="002D1C69"/>
    <w:rsid w:val="002E0D79"/>
    <w:rsid w:val="00312EC8"/>
    <w:rsid w:val="0032213C"/>
    <w:rsid w:val="00336A66"/>
    <w:rsid w:val="003422F8"/>
    <w:rsid w:val="00360E04"/>
    <w:rsid w:val="00364512"/>
    <w:rsid w:val="003711A0"/>
    <w:rsid w:val="00393CFB"/>
    <w:rsid w:val="003B0BFA"/>
    <w:rsid w:val="003C73F4"/>
    <w:rsid w:val="003E3B25"/>
    <w:rsid w:val="003E4F10"/>
    <w:rsid w:val="003F32E3"/>
    <w:rsid w:val="003F46AD"/>
    <w:rsid w:val="00405DDE"/>
    <w:rsid w:val="00417145"/>
    <w:rsid w:val="0045327E"/>
    <w:rsid w:val="004843AB"/>
    <w:rsid w:val="004949D9"/>
    <w:rsid w:val="0049546E"/>
    <w:rsid w:val="004C5F11"/>
    <w:rsid w:val="004F3C63"/>
    <w:rsid w:val="005074C1"/>
    <w:rsid w:val="00511C2C"/>
    <w:rsid w:val="00521ED7"/>
    <w:rsid w:val="005236AF"/>
    <w:rsid w:val="005333D4"/>
    <w:rsid w:val="00536391"/>
    <w:rsid w:val="00557EAD"/>
    <w:rsid w:val="0056376B"/>
    <w:rsid w:val="0057244A"/>
    <w:rsid w:val="00585DB1"/>
    <w:rsid w:val="0059312A"/>
    <w:rsid w:val="0059680E"/>
    <w:rsid w:val="005A27C0"/>
    <w:rsid w:val="005A7F7E"/>
    <w:rsid w:val="00640E08"/>
    <w:rsid w:val="00654BA8"/>
    <w:rsid w:val="00663EB2"/>
    <w:rsid w:val="0067459A"/>
    <w:rsid w:val="006C19C4"/>
    <w:rsid w:val="00717B50"/>
    <w:rsid w:val="00721AF9"/>
    <w:rsid w:val="00725B46"/>
    <w:rsid w:val="00751D36"/>
    <w:rsid w:val="007728E5"/>
    <w:rsid w:val="00774907"/>
    <w:rsid w:val="00790FEF"/>
    <w:rsid w:val="00791D34"/>
    <w:rsid w:val="007C3DA8"/>
    <w:rsid w:val="007D0299"/>
    <w:rsid w:val="007F112B"/>
    <w:rsid w:val="007F6B03"/>
    <w:rsid w:val="00813FCB"/>
    <w:rsid w:val="00816B29"/>
    <w:rsid w:val="00821A98"/>
    <w:rsid w:val="00826337"/>
    <w:rsid w:val="00830B05"/>
    <w:rsid w:val="008355FF"/>
    <w:rsid w:val="0084413D"/>
    <w:rsid w:val="008753A3"/>
    <w:rsid w:val="00880CF0"/>
    <w:rsid w:val="00881FA2"/>
    <w:rsid w:val="00897B7A"/>
    <w:rsid w:val="008B32AB"/>
    <w:rsid w:val="008C29A4"/>
    <w:rsid w:val="008D78F3"/>
    <w:rsid w:val="008F2E11"/>
    <w:rsid w:val="0090565C"/>
    <w:rsid w:val="009104B9"/>
    <w:rsid w:val="009114FE"/>
    <w:rsid w:val="009434FA"/>
    <w:rsid w:val="00962A1B"/>
    <w:rsid w:val="00970D1A"/>
    <w:rsid w:val="00976F83"/>
    <w:rsid w:val="009A2023"/>
    <w:rsid w:val="009B274E"/>
    <w:rsid w:val="009B4EA7"/>
    <w:rsid w:val="009D21B1"/>
    <w:rsid w:val="009E6928"/>
    <w:rsid w:val="009F4679"/>
    <w:rsid w:val="00A03965"/>
    <w:rsid w:val="00A41524"/>
    <w:rsid w:val="00A5057E"/>
    <w:rsid w:val="00A6411B"/>
    <w:rsid w:val="00A66D4D"/>
    <w:rsid w:val="00A7025B"/>
    <w:rsid w:val="00AA541B"/>
    <w:rsid w:val="00AB50F7"/>
    <w:rsid w:val="00AD6D66"/>
    <w:rsid w:val="00AD7F1E"/>
    <w:rsid w:val="00AE1DF4"/>
    <w:rsid w:val="00AF5BBE"/>
    <w:rsid w:val="00B0048D"/>
    <w:rsid w:val="00B226B0"/>
    <w:rsid w:val="00B252AC"/>
    <w:rsid w:val="00B26296"/>
    <w:rsid w:val="00B30C5F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F8F"/>
    <w:rsid w:val="00B83E03"/>
    <w:rsid w:val="00BB0280"/>
    <w:rsid w:val="00BC327E"/>
    <w:rsid w:val="00BF3BEB"/>
    <w:rsid w:val="00C010E2"/>
    <w:rsid w:val="00C102A3"/>
    <w:rsid w:val="00C108F9"/>
    <w:rsid w:val="00C12D40"/>
    <w:rsid w:val="00C208AA"/>
    <w:rsid w:val="00C34F9B"/>
    <w:rsid w:val="00C35B85"/>
    <w:rsid w:val="00C43631"/>
    <w:rsid w:val="00C655F1"/>
    <w:rsid w:val="00C67F5A"/>
    <w:rsid w:val="00CA2439"/>
    <w:rsid w:val="00CB2803"/>
    <w:rsid w:val="00CB6753"/>
    <w:rsid w:val="00D02ED8"/>
    <w:rsid w:val="00D51BA0"/>
    <w:rsid w:val="00D60AA7"/>
    <w:rsid w:val="00D80D5F"/>
    <w:rsid w:val="00D911B1"/>
    <w:rsid w:val="00D95A89"/>
    <w:rsid w:val="00DF1116"/>
    <w:rsid w:val="00E23458"/>
    <w:rsid w:val="00E25C52"/>
    <w:rsid w:val="00E3144E"/>
    <w:rsid w:val="00E33EB4"/>
    <w:rsid w:val="00E370CB"/>
    <w:rsid w:val="00E41A23"/>
    <w:rsid w:val="00E607D6"/>
    <w:rsid w:val="00E66F7E"/>
    <w:rsid w:val="00E90C86"/>
    <w:rsid w:val="00EB0014"/>
    <w:rsid w:val="00EB3DD4"/>
    <w:rsid w:val="00EF6111"/>
    <w:rsid w:val="00F1149F"/>
    <w:rsid w:val="00F26278"/>
    <w:rsid w:val="00F80F3A"/>
    <w:rsid w:val="00F9011F"/>
    <w:rsid w:val="00FA6C94"/>
    <w:rsid w:val="00FB269C"/>
    <w:rsid w:val="00FD3EAB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8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paragraph" w:customStyle="1" w:styleId="p1">
    <w:name w:val="p1"/>
    <w:basedOn w:val="Normal"/>
    <w:rsid w:val="003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2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2019-10-01T07:22:00Z</cp:lastPrinted>
  <dcterms:created xsi:type="dcterms:W3CDTF">2020-03-10T06:43:00Z</dcterms:created>
  <dcterms:modified xsi:type="dcterms:W3CDTF">2020-03-11T01:57:00Z</dcterms:modified>
</cp:coreProperties>
</file>