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8" w:rsidRDefault="008409A8" w:rsidP="008409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PEMPROV OPTIMIS PERTAHANKAN WTP </w:t>
      </w:r>
    </w:p>
    <w:p w:rsidR="005D37CE" w:rsidRDefault="008409A8" w:rsidP="008409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 SEMBILAN KALI</w:t>
      </w:r>
    </w:p>
    <w:p w:rsidR="00B063A0" w:rsidRDefault="008409A8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35013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P PARP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A8" w:rsidRPr="008409A8" w:rsidRDefault="008409A8" w:rsidP="008409A8">
      <w:pPr>
        <w:spacing w:after="0" w:line="240" w:lineRule="auto"/>
        <w:jc w:val="both"/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</w:pP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Gubernur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NTB, H.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Zulkieflimansyah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menerima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LHP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Bantuan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Parpol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dari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Kepala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BPK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Perwakilan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NTB,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Hery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Purwanto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Pada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kesempatan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yang </w:t>
      </w:r>
      <w:proofErr w:type="spellStart"/>
      <w:proofErr w:type="gram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sama</w:t>
      </w:r>
      <w:proofErr w:type="spellEnd"/>
      <w:proofErr w:type="gram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Gubernur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menyerahkan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LKPD 2019 yang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akan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dilakukan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audit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oleh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BPK RI 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Perwakilan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NTB. (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Suara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 xml:space="preserve"> NTB/</w:t>
      </w:r>
      <w:proofErr w:type="spellStart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humasntb</w:t>
      </w:r>
      <w:proofErr w:type="spellEnd"/>
      <w:r w:rsidRPr="008409A8">
        <w:rPr>
          <w:rFonts w:eastAsia="Times New Roman" w:cstheme="minorHAnsi"/>
          <w:bCs/>
          <w:i/>
          <w:color w:val="808080" w:themeColor="background1" w:themeShade="80"/>
          <w:sz w:val="20"/>
          <w:szCs w:val="20"/>
        </w:rPr>
        <w:t>)</w:t>
      </w:r>
    </w:p>
    <w:p w:rsidR="008409A8" w:rsidRPr="008409A8" w:rsidRDefault="008409A8" w:rsidP="008409A8">
      <w:pPr>
        <w:spacing w:after="0" w:line="240" w:lineRule="auto"/>
        <w:jc w:val="both"/>
        <w:rPr>
          <w:rFonts w:eastAsia="Times New Roman" w:cstheme="minorHAnsi"/>
          <w:bCs/>
          <w:color w:val="808080" w:themeColor="background1" w:themeShade="80"/>
          <w:sz w:val="20"/>
          <w:szCs w:val="20"/>
        </w:rPr>
      </w:pP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NTB) –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(BPK)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menerjunkan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10 Tim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Daerah (LKPD) 2019.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predikat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Wajar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Pengecualian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(WTP)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kesembilan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/Kota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penyerahan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NTB, Dr. H.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Zulkieflimansyah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SE, M.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Kantor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13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disaksikan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DPRD NTB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DPRD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Kabupate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/Kota.</w:t>
      </w:r>
    </w:p>
    <w:p w:rsidR="008409A8" w:rsidRPr="008409A8" w:rsidRDefault="008409A8" w:rsidP="00840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lastRenderedPageBreak/>
        <w:t>Kepala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SE, MM,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2019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realisasi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(LRA),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saldo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ekuitas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2019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wajar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kesesuaian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kecukupan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intern.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2019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Lombok Barat,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(KAP)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didahului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pertengahan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9A8">
        <w:rPr>
          <w:rFonts w:ascii="Times New Roman" w:eastAsia="Times New Roman" w:hAnsi="Times New Roman" w:cs="Times New Roman"/>
          <w:sz w:val="24"/>
          <w:szCs w:val="24"/>
        </w:rPr>
        <w:t>‘’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kami 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,’’ kata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2019,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kemiskina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pengangguran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Dikonfirmasi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Daerah (BPKAD) NTB, Drs. H.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Zainul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Islam, MM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predikat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WTP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kesembilan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kali.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WTP.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‘’Terus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Insya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WTP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kesembilan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kali,’’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2019, kata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Zainul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pengangguran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 ‘’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petik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data BPS.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Penambahannya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data-data.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penambahannya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Formatnya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lama,’’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terangnya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Zainul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pembenahan-pembenahan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tindaklanjut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LKPD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‘’Terus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OPD.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Tindaklanjut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</w:t>
      </w:r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alhamdulillah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,’’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Inspektur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Inspektorat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NTB,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Ibnu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Salim, SH, M. Si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WTP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kesembilan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kalinya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di NTB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menurunnya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A8" w:rsidRP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‘’Kita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WTP. 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indikatornya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parpol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keuangannya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,’’ kata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Ibnu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A8" w:rsidRDefault="008409A8" w:rsidP="00840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Inspektorat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mengawal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intern,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OPD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meminimalisir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kekeliruan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penyimpangan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 ‘’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 xml:space="preserve"> BPK,’’ 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tandasnya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8409A8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840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09A8" w:rsidRDefault="008409A8" w:rsidP="008409A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Default="003C55BF" w:rsidP="00C41516">
      <w:pPr>
        <w:spacing w:after="0" w:line="360" w:lineRule="auto"/>
      </w:pPr>
      <w:proofErr w:type="gramStart"/>
      <w:r>
        <w:t>1</w:t>
      </w:r>
      <w:r w:rsidR="007B44A8">
        <w:t>.</w:t>
      </w:r>
      <w:proofErr w:type="gramEnd"/>
      <w:r w:rsidR="00030B3E">
        <w:fldChar w:fldCharType="begin"/>
      </w:r>
      <w:r w:rsidR="00030B3E">
        <w:instrText xml:space="preserve"> HYPERLINK "https://www.suarantb.com/ntb/2020/290906/Pemprov.Optimis.Pertahankan.WTP.Kesembilan.Kali/" </w:instrText>
      </w:r>
      <w:r w:rsidR="00030B3E">
        <w:fldChar w:fldCharType="separate"/>
      </w:r>
      <w:r w:rsidR="008409A8">
        <w:rPr>
          <w:rStyle w:val="Hyperlink"/>
        </w:rPr>
        <w:t>https://www.suarantb.com/ntb/2020/290906/Pemprov.Optimis.Pertahankan.WTP.Kesembilan.Kali/</w:t>
      </w:r>
      <w:r w:rsidR="00030B3E">
        <w:rPr>
          <w:rStyle w:val="Hyperlink"/>
        </w:rPr>
        <w:fldChar w:fldCharType="end"/>
      </w:r>
      <w:r w:rsidR="008409A8">
        <w:t xml:space="preserve"> </w:t>
      </w:r>
    </w:p>
    <w:p w:rsidR="00923A77" w:rsidRPr="005458C1" w:rsidRDefault="00C41516" w:rsidP="004A1896">
      <w:pPr>
        <w:spacing w:after="0" w:line="360" w:lineRule="auto"/>
      </w:pPr>
      <w:r>
        <w:t xml:space="preserve">2. </w:t>
      </w:r>
      <w:hyperlink r:id="rId9" w:history="1">
        <w:r w:rsidR="008409A8">
          <w:rPr>
            <w:rStyle w:val="Hyperlink"/>
          </w:rPr>
          <w:t>https://mataramnews.co.id/20706/gubernur-ntb-apresiasi-lpj-parpol-raih-wtp-dari-bpk/</w:t>
        </w:r>
      </w:hyperlink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lastRenderedPageBreak/>
        <w:t>Catatan</w:t>
      </w:r>
      <w:proofErr w:type="spellEnd"/>
    </w:p>
    <w:p w:rsidR="00CB6DC5" w:rsidRPr="00CB6DC5" w:rsidRDefault="002D5818" w:rsidP="00CB6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kecermatan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C5" w:rsidRPr="00CB6DC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CB6DC5" w:rsidRPr="00CB6DC5">
        <w:rPr>
          <w:rFonts w:ascii="Times New Roman" w:hAnsi="Times New Roman" w:cs="Times New Roman"/>
          <w:sz w:val="24"/>
          <w:szCs w:val="24"/>
        </w:rPr>
        <w:t>.</w:t>
      </w:r>
    </w:p>
    <w:p w:rsidR="00CB6DC5" w:rsidRPr="00CB6DC5" w:rsidRDefault="00CB6DC5" w:rsidP="00CB6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BPK,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6DC5" w:rsidRPr="00CB6DC5" w:rsidRDefault="00CB6DC5" w:rsidP="00CB6D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DC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CB6DC5">
        <w:rPr>
          <w:rFonts w:ascii="Times New Roman" w:hAnsi="Times New Roman" w:cs="Times New Roman"/>
          <w:sz w:val="24"/>
          <w:szCs w:val="24"/>
        </w:rPr>
        <w:t xml:space="preserve"> BPK.</w:t>
      </w:r>
    </w:p>
    <w:p w:rsidR="00CB6DC5" w:rsidRPr="00CB6DC5" w:rsidRDefault="00CB6DC5" w:rsidP="00CB6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diserahi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.</w:t>
      </w:r>
    </w:p>
    <w:p w:rsidR="00CB6DC5" w:rsidRPr="00CB6DC5" w:rsidRDefault="00CB6DC5" w:rsidP="00CB6D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DPR, DPD, DPRD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1945.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B6DC5" w:rsidRPr="00CB6DC5" w:rsidRDefault="00CB6DC5" w:rsidP="00CB6D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D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.</w:t>
      </w:r>
    </w:p>
    <w:p w:rsidR="00CB6DC5" w:rsidRPr="00CB6DC5" w:rsidRDefault="00CB6DC5" w:rsidP="00CB6D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DC5"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(WTP/unqualified Opinion),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(WDP/Qualified Opinion),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(TMT/Disclaimer Opinion)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(TW/Adverse Opinion).</w:t>
      </w:r>
    </w:p>
    <w:p w:rsidR="00CB6DC5" w:rsidRPr="00CB6DC5" w:rsidRDefault="00CB6DC5" w:rsidP="00CB6DC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DC5" w:rsidRPr="00CB6DC5" w:rsidRDefault="00CB6DC5" w:rsidP="00CB6D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material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pos-pos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SAP.</w:t>
      </w:r>
    </w:p>
    <w:p w:rsidR="00E47D53" w:rsidRPr="008F6A4C" w:rsidRDefault="00CB6DC5" w:rsidP="00CB6D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; (b)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(adequate disclosures); (c)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intern (SPI).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pos-pos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SAP.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mendasarkan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terdapa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B6DC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6D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7D53" w:rsidRPr="008F6A4C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E" w:rsidRDefault="00030B3E" w:rsidP="004F2A50">
      <w:pPr>
        <w:spacing w:after="0" w:line="240" w:lineRule="auto"/>
      </w:pPr>
      <w:r>
        <w:separator/>
      </w:r>
    </w:p>
  </w:endnote>
  <w:endnote w:type="continuationSeparator" w:id="0">
    <w:p w:rsidR="00030B3E" w:rsidRDefault="00030B3E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B6DC5" w:rsidRPr="00CB6DC5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E" w:rsidRDefault="00030B3E" w:rsidP="004F2A50">
      <w:pPr>
        <w:spacing w:after="0" w:line="240" w:lineRule="auto"/>
      </w:pPr>
      <w:r>
        <w:separator/>
      </w:r>
    </w:p>
  </w:footnote>
  <w:footnote w:type="continuationSeparator" w:id="0">
    <w:p w:rsidR="00030B3E" w:rsidRDefault="00030B3E" w:rsidP="004F2A50">
      <w:pPr>
        <w:spacing w:after="0" w:line="240" w:lineRule="auto"/>
      </w:pPr>
      <w:r>
        <w:continuationSeparator/>
      </w:r>
    </w:p>
  </w:footnote>
  <w:footnote w:id="1">
    <w:p w:rsidR="00CB6DC5" w:rsidRDefault="00CB6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s.d</w:t>
      </w:r>
      <w:proofErr w:type="spellEnd"/>
      <w:r>
        <w:t xml:space="preserve">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0B3E"/>
    <w:rsid w:val="00034F48"/>
    <w:rsid w:val="000A0A06"/>
    <w:rsid w:val="000A75B0"/>
    <w:rsid w:val="000A7AF3"/>
    <w:rsid w:val="000B349F"/>
    <w:rsid w:val="00174D51"/>
    <w:rsid w:val="00225408"/>
    <w:rsid w:val="002413CD"/>
    <w:rsid w:val="002464A7"/>
    <w:rsid w:val="00264A64"/>
    <w:rsid w:val="002744AF"/>
    <w:rsid w:val="002A0D6D"/>
    <w:rsid w:val="002D5818"/>
    <w:rsid w:val="003229AF"/>
    <w:rsid w:val="00325F36"/>
    <w:rsid w:val="003C55BF"/>
    <w:rsid w:val="003E3567"/>
    <w:rsid w:val="004830B8"/>
    <w:rsid w:val="004A1896"/>
    <w:rsid w:val="004C1A41"/>
    <w:rsid w:val="004C388B"/>
    <w:rsid w:val="004F2A50"/>
    <w:rsid w:val="00521994"/>
    <w:rsid w:val="005458C1"/>
    <w:rsid w:val="005819CB"/>
    <w:rsid w:val="005A143B"/>
    <w:rsid w:val="005B4AF9"/>
    <w:rsid w:val="005D37CE"/>
    <w:rsid w:val="0061351C"/>
    <w:rsid w:val="00641D4C"/>
    <w:rsid w:val="00681B9A"/>
    <w:rsid w:val="00690DA4"/>
    <w:rsid w:val="006E2C03"/>
    <w:rsid w:val="00700A81"/>
    <w:rsid w:val="00711A1B"/>
    <w:rsid w:val="007243C0"/>
    <w:rsid w:val="0073352D"/>
    <w:rsid w:val="007B44A8"/>
    <w:rsid w:val="007B7744"/>
    <w:rsid w:val="007D5C89"/>
    <w:rsid w:val="00824FE0"/>
    <w:rsid w:val="008409A8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C116E"/>
    <w:rsid w:val="00B063A0"/>
    <w:rsid w:val="00B968A0"/>
    <w:rsid w:val="00BF6DA4"/>
    <w:rsid w:val="00C13A92"/>
    <w:rsid w:val="00C159CA"/>
    <w:rsid w:val="00C41516"/>
    <w:rsid w:val="00C733E8"/>
    <w:rsid w:val="00C749BA"/>
    <w:rsid w:val="00CA68D6"/>
    <w:rsid w:val="00CB6DC5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5CB"/>
    <w:rsid w:val="00E3186B"/>
    <w:rsid w:val="00E33F8E"/>
    <w:rsid w:val="00E47D53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F4D5C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aramnews.co.id/20706/gubernur-ntb-apresiasi-lpj-parpol-raih-wtp-dari-b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A18-0548-491C-831B-96D9A89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35</cp:revision>
  <dcterms:created xsi:type="dcterms:W3CDTF">2019-12-30T01:41:00Z</dcterms:created>
  <dcterms:modified xsi:type="dcterms:W3CDTF">2020-03-20T09:24:00Z</dcterms:modified>
</cp:coreProperties>
</file>