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57E4" w14:textId="77777777" w:rsidR="00287FB0" w:rsidRDefault="00287FB0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p w14:paraId="5F37E7C3" w14:textId="36574732" w:rsidR="00287FB0" w:rsidRPr="00287FB0" w:rsidRDefault="00287FB0" w:rsidP="00287FB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87FB0">
        <w:rPr>
          <w:rFonts w:ascii="Times New Roman" w:hAnsi="Times New Roman" w:cs="Times New Roman"/>
          <w:b/>
          <w:sz w:val="24"/>
          <w:szCs w:val="24"/>
          <w:lang w:val="id-ID"/>
        </w:rPr>
        <w:t>Hitungan Fitra</w:t>
      </w:r>
      <w:r w:rsidR="00281536" w:rsidRPr="00287FB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NTB</w:t>
      </w:r>
      <w:r w:rsidRPr="00287FB0">
        <w:rPr>
          <w:rFonts w:ascii="Times New Roman" w:hAnsi="Times New Roman" w:cs="Times New Roman"/>
          <w:b/>
          <w:sz w:val="24"/>
          <w:szCs w:val="24"/>
          <w:lang w:val="id-ID"/>
        </w:rPr>
        <w:t>, Pemprov Punya Potensi Rp244 Miliar Untuk Corona</w:t>
      </w:r>
    </w:p>
    <w:p w14:paraId="71F290FC" w14:textId="77777777" w:rsidR="00287FB0" w:rsidRDefault="00287FB0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22F3DEF" w14:textId="77777777" w:rsidR="00C83989" w:rsidRDefault="00C83989" w:rsidP="00E54BA2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48EBE617" w14:textId="7C903832" w:rsidR="005F7F8F" w:rsidRPr="00287FB0" w:rsidRDefault="00287FB0" w:rsidP="00287FB0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87FB0">
        <w:drawing>
          <wp:inline distT="0" distB="0" distL="0" distR="0" wp14:anchorId="67E8FF93" wp14:editId="0BF62258">
            <wp:extent cx="3474720" cy="1947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7734" cy="194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FB0">
        <w:t xml:space="preserve"> </w:t>
      </w:r>
    </w:p>
    <w:p w14:paraId="2175BC44" w14:textId="71BA4EB1" w:rsidR="00625540" w:rsidRDefault="00287FB0" w:rsidP="00287FB0">
      <w:pPr>
        <w:jc w:val="center"/>
      </w:pPr>
      <w:hyperlink r:id="rId9" w:history="1">
        <w:r>
          <w:rPr>
            <w:rStyle w:val="Hyperlink"/>
          </w:rPr>
          <w:t>https://www.publikreport.com/</w:t>
        </w:r>
      </w:hyperlink>
    </w:p>
    <w:p w14:paraId="1369C98D" w14:textId="77777777" w:rsidR="00287FB0" w:rsidRDefault="00287FB0" w:rsidP="00287FB0">
      <w:pPr>
        <w:jc w:val="center"/>
        <w:rPr>
          <w:rFonts w:ascii="Times New Roman" w:hAnsi="Times New Roman" w:cs="Times New Roman"/>
          <w:b/>
          <w:lang w:val="id-ID"/>
        </w:rPr>
      </w:pPr>
    </w:p>
    <w:p w14:paraId="1AA39E7F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Mataram</w:t>
      </w:r>
      <w:proofErr w:type="spellEnd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(</w:t>
      </w:r>
      <w:proofErr w:type="spellStart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Suara</w:t>
      </w:r>
      <w:proofErr w:type="spellEnd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 NTB)</w:t>
      </w:r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–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membutuhkan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Rp25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miliar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virus corona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besarnya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tentu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tertutupi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terduga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memang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bencana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2041B3F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memenuhi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antisipasi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virus Corona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melalui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Kementerian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menerbitkan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landasan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hukum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penyesuaian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transfer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mengurangi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dampak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virus.</w:t>
      </w:r>
    </w:p>
    <w:p w14:paraId="429600B3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kini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tengah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bergerak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penyisiran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item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dimungkinkan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realokasikan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virus Corona di NTB.</w:t>
      </w:r>
    </w:p>
    <w:p w14:paraId="46AEF799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Menyangkut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hal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Forum Indonesia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Transparansi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Fitra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NTB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melihat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masih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punya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ruang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realokasi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sejumlah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item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program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dialihkan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penyebaran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virus Corona di NTB,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dibutuhkan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Rp25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milyar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itu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15D9647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jelas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membuka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opsi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merevisi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rencana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Pemda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usah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bingung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sudah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diberikan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keleluasaan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pusat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ujar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Fitra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Jumaidi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Suara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NTB,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Jumat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20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kemarin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7116FC3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Jumaidi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(PMK)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diperbolehkan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melakukan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revisi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item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DBH-CHT, DBH-SDA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kehutanan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Dana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2F95E09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juga PMK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6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membolehkan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merevisi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dana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Pemprov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merespon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cepat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karena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situasinya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darurat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jelasnya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13996314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Jumaidi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mengungkapkan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simulasi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hitungan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potensi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realokasi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corona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PMK No 6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dan no 19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Fisik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KB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Rp11.055.636.000.00.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Kemudian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sana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Rp3.001.427.000.00.</w:t>
      </w:r>
    </w:p>
    <w:p w14:paraId="56B7E1A0" w14:textId="77777777" w:rsidR="00625540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Sementara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DBH-CHT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Rp88,697,524,800.00, DBH-DAU, DBH-SDA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DBH-SDA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Kehutanan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iuran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eksplorasi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iuran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eksplorasi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royalti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)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Rp104,810,400,000.00.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sebesar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Rp36,709,900,000.00.</w:t>
      </w:r>
    </w:p>
    <w:p w14:paraId="2C23595A" w14:textId="6C3AE252" w:rsidR="002D4357" w:rsidRPr="00625540" w:rsidRDefault="00625540" w:rsidP="0062554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“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hitungan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kami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ada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sekitar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Rp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244.274.887.800 yang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bisa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direalokasi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Corona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Sehingga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corona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ini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mesti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tidak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terduga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,” </w:t>
      </w:r>
      <w:proofErr w:type="spellStart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pungkasnya</w:t>
      </w:r>
      <w:proofErr w:type="spellEnd"/>
      <w:r w:rsidRPr="00625540">
        <w:rPr>
          <w:rFonts w:ascii="Times New Roman" w:eastAsia="Times New Roman" w:hAnsi="Times New Roman" w:cs="Times New Roman"/>
          <w:sz w:val="24"/>
          <w:szCs w:val="24"/>
          <w:lang w:eastAsia="id-ID"/>
        </w:rPr>
        <w:t>. </w:t>
      </w:r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</w:t>
      </w:r>
      <w:proofErr w:type="spellStart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ndi</w:t>
      </w:r>
      <w:proofErr w:type="spellEnd"/>
      <w:r w:rsidRPr="0062554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)</w:t>
      </w:r>
    </w:p>
    <w:p w14:paraId="6327962E" w14:textId="77777777" w:rsidR="001B2D82" w:rsidRPr="00743C72" w:rsidRDefault="001B2D82" w:rsidP="001B2D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"/>
        </w:rPr>
      </w:pPr>
      <w:r w:rsidRPr="00743C72">
        <w:rPr>
          <w:rFonts w:ascii="Times New Roman" w:hAnsi="Times New Roman" w:cs="Times New Roman"/>
          <w:b/>
          <w:lang w:val="en"/>
        </w:rPr>
        <w:t>Sumber berita</w:t>
      </w:r>
      <w:r w:rsidRPr="00743C72">
        <w:rPr>
          <w:rFonts w:ascii="Times New Roman" w:hAnsi="Times New Roman" w:cs="Times New Roman"/>
          <w:lang w:val="en"/>
        </w:rPr>
        <w:t>:</w:t>
      </w:r>
    </w:p>
    <w:p w14:paraId="6FD93C88" w14:textId="55CCF6E7" w:rsidR="00625540" w:rsidRDefault="00625540" w:rsidP="00625540">
      <w:pPr>
        <w:pStyle w:val="Heading1"/>
        <w:shd w:val="clear" w:color="auto" w:fill="FFFFFF"/>
        <w:spacing w:before="0" w:beforeAutospacing="0" w:after="105" w:afterAutospacing="0"/>
        <w:jc w:val="both"/>
        <w:rPr>
          <w:b w:val="0"/>
          <w:bCs w:val="0"/>
          <w:kern w:val="0"/>
          <w:sz w:val="24"/>
          <w:szCs w:val="24"/>
          <w:lang w:eastAsia="id-ID"/>
        </w:rPr>
      </w:pPr>
      <w:r w:rsidRPr="00625540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https://www.suarantb.com/</w:t>
      </w:r>
      <w:r w:rsidRPr="00122ED3"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>,</w:t>
      </w:r>
      <w:r>
        <w:rPr>
          <w:b w:val="0"/>
          <w:bCs w:val="0"/>
          <w:i/>
          <w:kern w:val="0"/>
          <w:sz w:val="24"/>
          <w:szCs w:val="24"/>
          <w:u w:val="single"/>
          <w:lang w:eastAsia="id-ID"/>
        </w:rPr>
        <w:t xml:space="preserve">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Hitungan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Fitra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NTB,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Pemprov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Punya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Potensi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Rp244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Miliar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</w:t>
      </w:r>
      <w:proofErr w:type="spellStart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>untuk</w:t>
      </w:r>
      <w:proofErr w:type="spellEnd"/>
      <w:r w:rsidR="00177403" w:rsidRPr="00177403">
        <w:rPr>
          <w:b w:val="0"/>
          <w:bCs w:val="0"/>
          <w:kern w:val="0"/>
          <w:sz w:val="24"/>
          <w:szCs w:val="24"/>
          <w:lang w:eastAsia="id-ID"/>
        </w:rPr>
        <w:t xml:space="preserve"> Corona</w:t>
      </w:r>
      <w:r w:rsidRPr="004349A6">
        <w:rPr>
          <w:b w:val="0"/>
          <w:bCs w:val="0"/>
          <w:kern w:val="0"/>
          <w:sz w:val="24"/>
          <w:szCs w:val="24"/>
          <w:lang w:eastAsia="id-ID"/>
        </w:rPr>
        <w:t xml:space="preserve">, </w:t>
      </w:r>
      <w:r w:rsidR="00177403">
        <w:rPr>
          <w:b w:val="0"/>
          <w:bCs w:val="0"/>
          <w:kern w:val="0"/>
          <w:sz w:val="24"/>
          <w:szCs w:val="24"/>
          <w:lang w:eastAsia="id-ID"/>
        </w:rPr>
        <w:t>20</w:t>
      </w:r>
      <w:r>
        <w:rPr>
          <w:b w:val="0"/>
          <w:bCs w:val="0"/>
          <w:kern w:val="0"/>
          <w:sz w:val="24"/>
          <w:szCs w:val="24"/>
          <w:lang w:eastAsia="id-ID"/>
        </w:rPr>
        <w:t xml:space="preserve"> M</w:t>
      </w:r>
      <w:proofErr w:type="spellStart"/>
      <w:r>
        <w:rPr>
          <w:b w:val="0"/>
          <w:bCs w:val="0"/>
          <w:kern w:val="0"/>
          <w:sz w:val="24"/>
          <w:szCs w:val="24"/>
          <w:lang w:eastAsia="id-ID"/>
        </w:rPr>
        <w:t>aret</w:t>
      </w:r>
      <w:proofErr w:type="spellEnd"/>
      <w:r w:rsidRPr="00E918AC">
        <w:rPr>
          <w:b w:val="0"/>
          <w:bCs w:val="0"/>
          <w:kern w:val="0"/>
          <w:sz w:val="24"/>
          <w:szCs w:val="24"/>
          <w:lang w:eastAsia="id-ID"/>
        </w:rPr>
        <w:t xml:space="preserve"> 20</w:t>
      </w:r>
      <w:r>
        <w:rPr>
          <w:b w:val="0"/>
          <w:bCs w:val="0"/>
          <w:kern w:val="0"/>
          <w:sz w:val="24"/>
          <w:szCs w:val="24"/>
          <w:lang w:eastAsia="id-ID"/>
        </w:rPr>
        <w:t>20</w:t>
      </w:r>
      <w:r w:rsidRPr="00E918AC">
        <w:rPr>
          <w:b w:val="0"/>
          <w:bCs w:val="0"/>
          <w:kern w:val="0"/>
          <w:sz w:val="24"/>
          <w:szCs w:val="24"/>
          <w:lang w:eastAsia="id-ID"/>
        </w:rPr>
        <w:t>;</w:t>
      </w:r>
    </w:p>
    <w:p w14:paraId="5D717D9A" w14:textId="77777777" w:rsidR="00C52E1E" w:rsidRDefault="00C52E1E" w:rsidP="006338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5EC537D" w14:textId="77777777" w:rsidR="00CD0C56" w:rsidRPr="003805E1" w:rsidRDefault="00CD0C56" w:rsidP="00CD0C56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3805E1">
        <w:rPr>
          <w:rFonts w:ascii="Times New Roman" w:hAnsi="Times New Roman" w:cs="Times New Roman"/>
          <w:b/>
        </w:rPr>
        <w:t>Catatan:</w:t>
      </w:r>
      <w:r w:rsidR="00927B88" w:rsidRPr="003805E1">
        <w:rPr>
          <w:rFonts w:ascii="Times New Roman" w:hAnsi="Times New Roman" w:cs="Times New Roman"/>
        </w:rPr>
        <w:t xml:space="preserve"> </w:t>
      </w:r>
    </w:p>
    <w:p w14:paraId="437A442C" w14:textId="77777777" w:rsidR="00177403" w:rsidRDefault="00177403" w:rsidP="00C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E2DC18" w14:textId="396A7A8A" w:rsidR="00177403" w:rsidRDefault="00177403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 w:rsid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15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48/PMK.07/2019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Nonfisik</w:t>
      </w:r>
      <w:proofErr w:type="spellEnd"/>
      <w:r w:rsidR="00461B09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Bantuan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Operasional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BOK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meringankan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beban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terhadap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pembiayaan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khususnya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Pusat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Masyarakat,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penurunan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kematian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kematian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bayi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malnutrisi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24D9AA17" w14:textId="578DA2F6" w:rsidR="00492BB2" w:rsidRDefault="00492BB2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Berdasarkan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48/PMK.07/2019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Pengelolaan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Nonfisik</w:t>
      </w:r>
      <w:proofErr w:type="spellEnd"/>
      <w:r>
        <w:t xml:space="preserve">, </w:t>
      </w:r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Nonfisik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DAK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Nonfisik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Belanja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membantu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mendanai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nonfisik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urusan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032F7F68" w14:textId="45C42C4E" w:rsidR="00492BB2" w:rsidRDefault="00492BB2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="000E63F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Menteri 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19/PMK.07/2020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="000F2E3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Hasil, Dana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Dana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Penanggulangan</w:t>
      </w:r>
      <w:proofErr w:type="spellEnd"/>
      <w:r w:rsidR="000F2E3F"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Corona Virus Disease </w:t>
      </w:r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2019 (COVID-19)</w:t>
      </w:r>
      <w:r w:rsidR="000F2E3F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11E497F0" w14:textId="36B1C6BE" w:rsidR="000F2E3F" w:rsidRPr="00356F31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angka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persentase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pendapatan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negara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mendanai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desentralisasi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D2232C6" w14:textId="47C44F54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Alokasi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DAU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pemerataan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kemampuan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antardaerah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mendanai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kebutuhan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desentralisasi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12412A5" w14:textId="6D71FDA3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Cukai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Tembakau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CHT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Transfer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dibagikan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cukai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penghasil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tembakau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91C3659" w14:textId="278FF7A8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disebut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kehutanan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mineral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batubara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perikanan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pertambangan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minyak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pertambangan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gas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pengusahaan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panas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591CAA31" w14:textId="15EC9ACC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Minyak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Gas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Migas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berasal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penerimaan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pertambangan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minyak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pertambangan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gas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30FB4393" w14:textId="6CFE5D52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Dana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Insentif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DID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bagian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TKDD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bersumber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APBN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kepada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kriteria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tujuan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memberikan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penghargaan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atas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pencapaian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tertentu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tata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kelola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daerah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umum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dasar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kesejahteraan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754F10D1" w14:textId="4345DC26" w:rsidR="000F2E3F" w:rsidRPr="000F2E3F" w:rsidRDefault="000F2E3F" w:rsidP="00356F31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356F31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Corona Virus Disease</w:t>
      </w: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2019 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selanjutnya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disingkat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serangkaian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Covid-19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sesuai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ditetapkan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oleh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kementerian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lembaga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berwenang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FB1A090" w14:textId="107D2984" w:rsidR="00492BB2" w:rsidRDefault="00356F31" w:rsidP="00492BB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Menteri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proofErr w:type="gram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19/PMK.07/2020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meliputi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0363B35A" w14:textId="017934E3" w:rsidR="00356F31" w:rsidRPr="00356F31" w:rsidRDefault="00356F31" w:rsidP="00356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DBH CHT;</w:t>
      </w:r>
    </w:p>
    <w:p w14:paraId="21EE8ED5" w14:textId="39450D52" w:rsidR="00356F31" w:rsidRPr="00356F31" w:rsidRDefault="00356F31" w:rsidP="00356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selain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Kehutanan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; dan</w:t>
      </w:r>
    </w:p>
    <w:p w14:paraId="6C52159B" w14:textId="7C0649BF" w:rsidR="00356F31" w:rsidRPr="00356F31" w:rsidRDefault="00356F31" w:rsidP="00356F31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Migas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otonomi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41E81BF7" w14:textId="3A6A9141" w:rsidR="00356F31" w:rsidRDefault="00356F31" w:rsidP="00356F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Menteri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proofErr w:type="gram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19/PMK.07/2020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DBH SDA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triwulan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III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DAU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Mei 2020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sampai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September 2020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ketentuan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14:paraId="68B95DF8" w14:textId="5C9DBB04" w:rsidR="00356F31" w:rsidRPr="00356F31" w:rsidRDefault="00356F31" w:rsidP="00356F31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Pemerintah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Daerah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telah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menyampaikan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Covid-19; dan</w:t>
      </w:r>
    </w:p>
    <w:p w14:paraId="2A1C6C2F" w14:textId="43999148" w:rsidR="00356F31" w:rsidRPr="00356F31" w:rsidRDefault="00356F31" w:rsidP="00356F31">
      <w:pPr>
        <w:pStyle w:val="ListParagraph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Laporan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Kinerja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realisasi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pelaksanaan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14:paraId="67E61C85" w14:textId="77777777" w:rsidR="00182D74" w:rsidRDefault="00356F31" w:rsidP="0012729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DID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 dan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Tahap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II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Kelompok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Kategori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Pelayanan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Dasar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Publik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dilaksanakan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secara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bersamaan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paling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cepat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Maret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 dan paling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lambat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bulan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>Juni</w:t>
      </w:r>
      <w:proofErr w:type="spellEnd"/>
      <w:r w:rsidRPr="00356F3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2020</w:t>
      </w:r>
    </w:p>
    <w:p w14:paraId="4B1A9BEA" w14:textId="77777777" w:rsidR="00182D74" w:rsidRDefault="00182D74" w:rsidP="00182D74">
      <w:pPr>
        <w:spacing w:line="360" w:lineRule="auto"/>
        <w:ind w:firstLine="709"/>
        <w:jc w:val="both"/>
        <w:rPr>
          <w:rFonts w:ascii="Helvetica" w:hAnsi="Helvetica"/>
          <w:color w:val="333333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6 </w:t>
      </w:r>
      <w:r w:rsidR="001272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Menteri 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Republik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19/PMK.07/2020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Penyaluran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492BB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</w:t>
      </w:r>
      <w:r>
        <w:rPr>
          <w:rFonts w:ascii="Helvetica" w:hAnsi="Helvetica"/>
          <w:color w:val="333333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menyatakan</w:t>
      </w:r>
      <w:proofErr w:type="spellEnd"/>
      <w:r>
        <w:rPr>
          <w:rFonts w:ascii="Helvetica" w:hAnsi="Helvetica"/>
          <w:color w:val="333333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333333"/>
          <w:shd w:val="clear" w:color="auto" w:fill="FFFFFF"/>
        </w:rPr>
        <w:t>bahwa</w:t>
      </w:r>
      <w:proofErr w:type="spellEnd"/>
      <w:r>
        <w:rPr>
          <w:rFonts w:ascii="Helvetica" w:hAnsi="Helvetica"/>
          <w:color w:val="333333"/>
          <w:shd w:val="clear" w:color="auto" w:fill="FFFFFF"/>
        </w:rPr>
        <w:t>:</w:t>
      </w:r>
    </w:p>
    <w:p w14:paraId="14BAE1EB" w14:textId="77777777" w:rsidR="00182D74" w:rsidRDefault="00127295" w:rsidP="00182D7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DBH SDA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Migas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rangka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otonomi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perbaikan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gizi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mengenai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otonomi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khusus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Provinsi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Papua dan Papua Barat,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27A343E2" w14:textId="77777777" w:rsidR="00182D74" w:rsidRDefault="00127295" w:rsidP="00182D7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DID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diprioritaskan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</w:t>
      </w:r>
    </w:p>
    <w:p w14:paraId="5B5FBB7E" w14:textId="5D0F1B9D" w:rsidR="00127295" w:rsidRPr="00182D74" w:rsidRDefault="00127295" w:rsidP="00182D74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DBH CHT yang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dialokasikan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bidang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kesehatan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sebagaimana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diatur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Peraturan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Menteri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Keuangan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Nomor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7/PMK.07/2020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tentang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Penggunaan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Pemantauan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dan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Evaluasi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Dana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Bagi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Cukai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Tembakau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dapat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digunakan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untuk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kegiatan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pencegahan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dan/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atau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>penanganan</w:t>
      </w:r>
      <w:proofErr w:type="spellEnd"/>
      <w:r w:rsidRPr="00182D7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Covid-19.</w:t>
      </w:r>
    </w:p>
    <w:p w14:paraId="60DCF6BF" w14:textId="77777777" w:rsidR="00177403" w:rsidRDefault="00177403" w:rsidP="00CD0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F82FB42" w14:textId="77777777" w:rsidR="00E26E72" w:rsidRPr="00E653DB" w:rsidRDefault="00E26E72" w:rsidP="00912BF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26E72" w:rsidRPr="00E653DB" w:rsidSect="00DF087A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B6674" w14:textId="77777777" w:rsidR="003B48C7" w:rsidRDefault="003B48C7" w:rsidP="00B27270">
      <w:pPr>
        <w:spacing w:after="0" w:line="240" w:lineRule="auto"/>
      </w:pPr>
      <w:r>
        <w:separator/>
      </w:r>
    </w:p>
  </w:endnote>
  <w:endnote w:type="continuationSeparator" w:id="0">
    <w:p w14:paraId="7CF9E63C" w14:textId="77777777" w:rsidR="003B48C7" w:rsidRDefault="003B48C7" w:rsidP="00B2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E8502" w14:textId="77777777" w:rsidR="00B27270" w:rsidRDefault="00B27270" w:rsidP="00B2727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id-ID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3455EA" w:rsidRPr="003455E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B116A02" w14:textId="77777777" w:rsidR="00B27270" w:rsidRDefault="00B2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DAF44" w14:textId="77777777" w:rsidR="003B48C7" w:rsidRDefault="003B48C7" w:rsidP="00B27270">
      <w:pPr>
        <w:spacing w:after="0" w:line="240" w:lineRule="auto"/>
      </w:pPr>
      <w:r>
        <w:separator/>
      </w:r>
    </w:p>
  </w:footnote>
  <w:footnote w:type="continuationSeparator" w:id="0">
    <w:p w14:paraId="2008EE56" w14:textId="77777777" w:rsidR="003B48C7" w:rsidRDefault="003B48C7" w:rsidP="00B2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1DC"/>
    <w:multiLevelType w:val="singleLevel"/>
    <w:tmpl w:val="98C692D0"/>
    <w:lvl w:ilvl="0">
      <w:start w:val="1"/>
      <w:numFmt w:val="lowerLetter"/>
      <w:lvlText w:val="%1."/>
      <w:lvlJc w:val="left"/>
      <w:pPr>
        <w:tabs>
          <w:tab w:val="num" w:pos="4320"/>
        </w:tabs>
        <w:ind w:left="3888" w:firstLine="0"/>
      </w:pPr>
      <w:rPr>
        <w:rFonts w:hint="default"/>
        <w:color w:val="000000"/>
      </w:rPr>
    </w:lvl>
  </w:abstractNum>
  <w:abstractNum w:abstractNumId="1" w15:restartNumberingAfterBreak="0">
    <w:nsid w:val="06104E28"/>
    <w:multiLevelType w:val="hybridMultilevel"/>
    <w:tmpl w:val="E7B0086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62F0"/>
    <w:multiLevelType w:val="hybridMultilevel"/>
    <w:tmpl w:val="760A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1B32"/>
    <w:multiLevelType w:val="hybridMultilevel"/>
    <w:tmpl w:val="EFD8B95E"/>
    <w:lvl w:ilvl="0" w:tplc="560C846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73702"/>
    <w:multiLevelType w:val="hybridMultilevel"/>
    <w:tmpl w:val="E7B0086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679B5"/>
    <w:multiLevelType w:val="hybridMultilevel"/>
    <w:tmpl w:val="B1CC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921F3"/>
    <w:multiLevelType w:val="singleLevel"/>
    <w:tmpl w:val="5334B531"/>
    <w:lvl w:ilvl="0">
      <w:start w:val="1"/>
      <w:numFmt w:val="lowerLetter"/>
      <w:lvlText w:val="%1."/>
      <w:lvlJc w:val="left"/>
      <w:pPr>
        <w:tabs>
          <w:tab w:val="num" w:pos="4320"/>
        </w:tabs>
        <w:ind w:left="3888"/>
      </w:pPr>
      <w:rPr>
        <w:color w:val="000000"/>
      </w:rPr>
    </w:lvl>
  </w:abstractNum>
  <w:abstractNum w:abstractNumId="7" w15:restartNumberingAfterBreak="0">
    <w:nsid w:val="15551C3F"/>
    <w:multiLevelType w:val="hybridMultilevel"/>
    <w:tmpl w:val="A1E68206"/>
    <w:lvl w:ilvl="0" w:tplc="1F1603C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465AE"/>
    <w:multiLevelType w:val="hybridMultilevel"/>
    <w:tmpl w:val="45066292"/>
    <w:lvl w:ilvl="0" w:tplc="FDEE3EB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21FEC"/>
    <w:multiLevelType w:val="hybridMultilevel"/>
    <w:tmpl w:val="97122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B246E"/>
    <w:multiLevelType w:val="hybridMultilevel"/>
    <w:tmpl w:val="B1CC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9744B"/>
    <w:multiLevelType w:val="hybridMultilevel"/>
    <w:tmpl w:val="E060659C"/>
    <w:lvl w:ilvl="0" w:tplc="9A68F0D2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A20E4"/>
    <w:multiLevelType w:val="singleLevel"/>
    <w:tmpl w:val="305A9815"/>
    <w:lvl w:ilvl="0">
      <w:start w:val="1"/>
      <w:numFmt w:val="lowerLetter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13" w15:restartNumberingAfterBreak="0">
    <w:nsid w:val="1E8A5487"/>
    <w:multiLevelType w:val="hybridMultilevel"/>
    <w:tmpl w:val="2D6CE6B8"/>
    <w:lvl w:ilvl="0" w:tplc="1F1603C6">
      <w:start w:val="1"/>
      <w:numFmt w:val="decimal"/>
      <w:lvlText w:val="%1."/>
      <w:lvlJc w:val="right"/>
      <w:pPr>
        <w:tabs>
          <w:tab w:val="num" w:pos="1152"/>
        </w:tabs>
        <w:ind w:left="720" w:firstLine="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A67492"/>
    <w:multiLevelType w:val="hybridMultilevel"/>
    <w:tmpl w:val="D9F4F806"/>
    <w:lvl w:ilvl="0" w:tplc="61E284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707EA7"/>
    <w:multiLevelType w:val="singleLevel"/>
    <w:tmpl w:val="381925F8"/>
    <w:lvl w:ilvl="0">
      <w:start w:val="1"/>
      <w:numFmt w:val="lowerLetter"/>
      <w:lvlText w:val="%1."/>
      <w:lvlJc w:val="left"/>
      <w:pPr>
        <w:tabs>
          <w:tab w:val="num" w:pos="2232"/>
        </w:tabs>
        <w:ind w:left="2232" w:hanging="504"/>
      </w:pPr>
      <w:rPr>
        <w:color w:val="000000"/>
      </w:rPr>
    </w:lvl>
  </w:abstractNum>
  <w:abstractNum w:abstractNumId="16" w15:restartNumberingAfterBreak="0">
    <w:nsid w:val="33377DC6"/>
    <w:multiLevelType w:val="hybridMultilevel"/>
    <w:tmpl w:val="91E0E4FC"/>
    <w:lvl w:ilvl="0" w:tplc="1F9273F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E70E2"/>
    <w:multiLevelType w:val="hybridMultilevel"/>
    <w:tmpl w:val="59F805CC"/>
    <w:lvl w:ilvl="0" w:tplc="B30A0968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EC8FA0"/>
    <w:multiLevelType w:val="singleLevel"/>
    <w:tmpl w:val="742F0E88"/>
    <w:lvl w:ilvl="0">
      <w:start w:val="1"/>
      <w:numFmt w:val="decimal"/>
      <w:lvlText w:val="(%1)"/>
      <w:lvlJc w:val="left"/>
      <w:pPr>
        <w:tabs>
          <w:tab w:val="num" w:pos="4104"/>
        </w:tabs>
        <w:ind w:left="3672"/>
      </w:pPr>
      <w:rPr>
        <w:color w:val="000000"/>
      </w:rPr>
    </w:lvl>
  </w:abstractNum>
  <w:abstractNum w:abstractNumId="19" w15:restartNumberingAfterBreak="0">
    <w:nsid w:val="3D9FFC9E"/>
    <w:multiLevelType w:val="singleLevel"/>
    <w:tmpl w:val="4653FCF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504"/>
      </w:pPr>
      <w:rPr>
        <w:color w:val="000000"/>
      </w:rPr>
    </w:lvl>
  </w:abstractNum>
  <w:abstractNum w:abstractNumId="20" w15:restartNumberingAfterBreak="0">
    <w:nsid w:val="3FB66C39"/>
    <w:multiLevelType w:val="hybridMultilevel"/>
    <w:tmpl w:val="AC0E4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474F"/>
    <w:multiLevelType w:val="hybridMultilevel"/>
    <w:tmpl w:val="8500D2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093D72"/>
    <w:multiLevelType w:val="hybridMultilevel"/>
    <w:tmpl w:val="10141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012FE"/>
    <w:multiLevelType w:val="hybridMultilevel"/>
    <w:tmpl w:val="0D827BAA"/>
    <w:lvl w:ilvl="0" w:tplc="0A2A3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02537D"/>
    <w:multiLevelType w:val="hybridMultilevel"/>
    <w:tmpl w:val="23DC31D0"/>
    <w:lvl w:ilvl="0" w:tplc="7160D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F1A17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81660"/>
    <w:multiLevelType w:val="hybridMultilevel"/>
    <w:tmpl w:val="467EB134"/>
    <w:lvl w:ilvl="0" w:tplc="CF7C6CE6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B3F0035"/>
    <w:multiLevelType w:val="hybridMultilevel"/>
    <w:tmpl w:val="299CC1FE"/>
    <w:lvl w:ilvl="0" w:tplc="0F9628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9B13D2"/>
    <w:multiLevelType w:val="hybridMultilevel"/>
    <w:tmpl w:val="112C1F9E"/>
    <w:lvl w:ilvl="0" w:tplc="D84C925A">
      <w:start w:val="1"/>
      <w:numFmt w:val="lowerLetter"/>
      <w:lvlText w:val="%1."/>
      <w:lvlJc w:val="left"/>
      <w:pPr>
        <w:ind w:left="644" w:hanging="360"/>
      </w:pPr>
      <w:rPr>
        <w:rFonts w:ascii="Bookman Old Style" w:hAnsi="Bookman Old Style" w:cs="Bookman Old Style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4A0B26"/>
    <w:multiLevelType w:val="hybridMultilevel"/>
    <w:tmpl w:val="2C1EE9C6"/>
    <w:lvl w:ilvl="0" w:tplc="1A1C24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E5FB2"/>
    <w:multiLevelType w:val="hybridMultilevel"/>
    <w:tmpl w:val="B1CC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CA4F1"/>
    <w:multiLevelType w:val="singleLevel"/>
    <w:tmpl w:val="33E578A8"/>
    <w:lvl w:ilvl="0">
      <w:start w:val="1"/>
      <w:numFmt w:val="decimal"/>
      <w:lvlText w:val="(%1)"/>
      <w:lvlJc w:val="left"/>
      <w:pPr>
        <w:tabs>
          <w:tab w:val="num" w:pos="4176"/>
        </w:tabs>
        <w:ind w:left="4176" w:hanging="504"/>
      </w:pPr>
      <w:rPr>
        <w:color w:val="000000"/>
      </w:rPr>
    </w:lvl>
  </w:abstractNum>
  <w:abstractNum w:abstractNumId="31" w15:restartNumberingAfterBreak="0">
    <w:nsid w:val="591C3DAE"/>
    <w:multiLevelType w:val="hybridMultilevel"/>
    <w:tmpl w:val="C0FC1AE4"/>
    <w:lvl w:ilvl="0" w:tplc="E6E0C56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BE1655"/>
    <w:multiLevelType w:val="hybridMultilevel"/>
    <w:tmpl w:val="CEB80DD4"/>
    <w:lvl w:ilvl="0" w:tplc="014C193E">
      <w:start w:val="1"/>
      <w:numFmt w:val="decimal"/>
      <w:lvlText w:val="(%1)"/>
      <w:lvlJc w:val="left"/>
      <w:pPr>
        <w:ind w:left="3240" w:hanging="360"/>
      </w:pPr>
      <w:rPr>
        <w:rFonts w:hint="default"/>
        <w:b w:val="0"/>
        <w:i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6B61BBF"/>
    <w:multiLevelType w:val="hybridMultilevel"/>
    <w:tmpl w:val="EAFA10F0"/>
    <w:lvl w:ilvl="0" w:tplc="6F127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CBB1DCD"/>
    <w:multiLevelType w:val="hybridMultilevel"/>
    <w:tmpl w:val="A06CDAF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B15AB"/>
    <w:multiLevelType w:val="hybridMultilevel"/>
    <w:tmpl w:val="B1CC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931DD"/>
    <w:multiLevelType w:val="hybridMultilevel"/>
    <w:tmpl w:val="E7B0086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1B4058"/>
    <w:multiLevelType w:val="hybridMultilevel"/>
    <w:tmpl w:val="E7B0086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B103D"/>
    <w:multiLevelType w:val="hybridMultilevel"/>
    <w:tmpl w:val="AE081B24"/>
    <w:lvl w:ilvl="0" w:tplc="8D72D9DE">
      <w:start w:val="1"/>
      <w:numFmt w:val="decimal"/>
      <w:lvlText w:val="%1."/>
      <w:lvlJc w:val="left"/>
      <w:pPr>
        <w:ind w:left="720" w:hanging="360"/>
      </w:pPr>
      <w:rPr>
        <w:rFonts w:hint="default"/>
        <w:color w:val="0F1A17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B2A3B"/>
    <w:multiLevelType w:val="hybridMultilevel"/>
    <w:tmpl w:val="E7B00860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2"/>
  </w:num>
  <w:num w:numId="3">
    <w:abstractNumId w:val="2"/>
  </w:num>
  <w:num w:numId="4">
    <w:abstractNumId w:val="9"/>
  </w:num>
  <w:num w:numId="5">
    <w:abstractNumId w:val="20"/>
  </w:num>
  <w:num w:numId="6">
    <w:abstractNumId w:val="25"/>
  </w:num>
  <w:num w:numId="7">
    <w:abstractNumId w:val="27"/>
  </w:num>
  <w:num w:numId="8">
    <w:abstractNumId w:val="8"/>
  </w:num>
  <w:num w:numId="9">
    <w:abstractNumId w:val="31"/>
  </w:num>
  <w:num w:numId="10">
    <w:abstractNumId w:val="17"/>
  </w:num>
  <w:num w:numId="11">
    <w:abstractNumId w:val="4"/>
  </w:num>
  <w:num w:numId="12">
    <w:abstractNumId w:val="39"/>
  </w:num>
  <w:num w:numId="13">
    <w:abstractNumId w:val="1"/>
  </w:num>
  <w:num w:numId="14">
    <w:abstractNumId w:val="37"/>
  </w:num>
  <w:num w:numId="15">
    <w:abstractNumId w:val="3"/>
  </w:num>
  <w:num w:numId="16">
    <w:abstractNumId w:val="11"/>
  </w:num>
  <w:num w:numId="17">
    <w:abstractNumId w:val="36"/>
  </w:num>
  <w:num w:numId="18">
    <w:abstractNumId w:val="16"/>
  </w:num>
  <w:num w:numId="19">
    <w:abstractNumId w:val="14"/>
  </w:num>
  <w:num w:numId="20">
    <w:abstractNumId w:val="32"/>
  </w:num>
  <w:num w:numId="21">
    <w:abstractNumId w:val="12"/>
  </w:num>
  <w:num w:numId="22">
    <w:abstractNumId w:val="19"/>
  </w:num>
  <w:num w:numId="23">
    <w:abstractNumId w:val="15"/>
  </w:num>
  <w:num w:numId="24">
    <w:abstractNumId w:val="6"/>
  </w:num>
  <w:num w:numId="25">
    <w:abstractNumId w:val="18"/>
  </w:num>
  <w:num w:numId="26">
    <w:abstractNumId w:val="30"/>
  </w:num>
  <w:num w:numId="27">
    <w:abstractNumId w:val="0"/>
  </w:num>
  <w:num w:numId="28">
    <w:abstractNumId w:val="13"/>
  </w:num>
  <w:num w:numId="29">
    <w:abstractNumId w:val="26"/>
  </w:num>
  <w:num w:numId="30">
    <w:abstractNumId w:val="21"/>
  </w:num>
  <w:num w:numId="31">
    <w:abstractNumId w:val="7"/>
  </w:num>
  <w:num w:numId="32">
    <w:abstractNumId w:val="34"/>
  </w:num>
  <w:num w:numId="33">
    <w:abstractNumId w:val="38"/>
  </w:num>
  <w:num w:numId="34">
    <w:abstractNumId w:val="24"/>
  </w:num>
  <w:num w:numId="35">
    <w:abstractNumId w:val="33"/>
  </w:num>
  <w:num w:numId="36">
    <w:abstractNumId w:val="10"/>
  </w:num>
  <w:num w:numId="37">
    <w:abstractNumId w:val="5"/>
  </w:num>
  <w:num w:numId="38">
    <w:abstractNumId w:val="23"/>
  </w:num>
  <w:num w:numId="39">
    <w:abstractNumId w:val="3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A"/>
    <w:rsid w:val="000035A0"/>
    <w:rsid w:val="00012A16"/>
    <w:rsid w:val="00014652"/>
    <w:rsid w:val="00024989"/>
    <w:rsid w:val="000425F6"/>
    <w:rsid w:val="00044E68"/>
    <w:rsid w:val="00055C3D"/>
    <w:rsid w:val="00065DC7"/>
    <w:rsid w:val="00067A78"/>
    <w:rsid w:val="00076779"/>
    <w:rsid w:val="00093C08"/>
    <w:rsid w:val="00093EBF"/>
    <w:rsid w:val="000A056E"/>
    <w:rsid w:val="000A3F5C"/>
    <w:rsid w:val="000A75CD"/>
    <w:rsid w:val="000B3A70"/>
    <w:rsid w:val="000B555A"/>
    <w:rsid w:val="000D1EE1"/>
    <w:rsid w:val="000E63FB"/>
    <w:rsid w:val="000F0363"/>
    <w:rsid w:val="000F2E3F"/>
    <w:rsid w:val="00106435"/>
    <w:rsid w:val="001158DA"/>
    <w:rsid w:val="00115C32"/>
    <w:rsid w:val="00127295"/>
    <w:rsid w:val="00134B85"/>
    <w:rsid w:val="00154055"/>
    <w:rsid w:val="0015431C"/>
    <w:rsid w:val="00155269"/>
    <w:rsid w:val="00177403"/>
    <w:rsid w:val="00181255"/>
    <w:rsid w:val="001816DC"/>
    <w:rsid w:val="00182D74"/>
    <w:rsid w:val="00190CE1"/>
    <w:rsid w:val="00193868"/>
    <w:rsid w:val="001B2D82"/>
    <w:rsid w:val="001B5743"/>
    <w:rsid w:val="001C4534"/>
    <w:rsid w:val="001D0064"/>
    <w:rsid w:val="001D2A2B"/>
    <w:rsid w:val="0020509E"/>
    <w:rsid w:val="00210A77"/>
    <w:rsid w:val="0021425C"/>
    <w:rsid w:val="00221450"/>
    <w:rsid w:val="00225964"/>
    <w:rsid w:val="00225F8D"/>
    <w:rsid w:val="00226227"/>
    <w:rsid w:val="00227771"/>
    <w:rsid w:val="00237D1A"/>
    <w:rsid w:val="00253124"/>
    <w:rsid w:val="00262BB7"/>
    <w:rsid w:val="00262DD2"/>
    <w:rsid w:val="00281536"/>
    <w:rsid w:val="0028557B"/>
    <w:rsid w:val="002874CD"/>
    <w:rsid w:val="00287FB0"/>
    <w:rsid w:val="00295638"/>
    <w:rsid w:val="002A7E63"/>
    <w:rsid w:val="002B2967"/>
    <w:rsid w:val="002C6D20"/>
    <w:rsid w:val="002D4357"/>
    <w:rsid w:val="002E00F9"/>
    <w:rsid w:val="002F03A6"/>
    <w:rsid w:val="002F24B6"/>
    <w:rsid w:val="002F797E"/>
    <w:rsid w:val="003071F5"/>
    <w:rsid w:val="00315CA5"/>
    <w:rsid w:val="00320EBF"/>
    <w:rsid w:val="00333980"/>
    <w:rsid w:val="003455EA"/>
    <w:rsid w:val="00351D29"/>
    <w:rsid w:val="00356F31"/>
    <w:rsid w:val="00362EE7"/>
    <w:rsid w:val="003645A4"/>
    <w:rsid w:val="00370B73"/>
    <w:rsid w:val="003805E1"/>
    <w:rsid w:val="0038675C"/>
    <w:rsid w:val="00386A6B"/>
    <w:rsid w:val="00391991"/>
    <w:rsid w:val="00395E4C"/>
    <w:rsid w:val="003A23F9"/>
    <w:rsid w:val="003A5A43"/>
    <w:rsid w:val="003A763E"/>
    <w:rsid w:val="003A79C1"/>
    <w:rsid w:val="003B079F"/>
    <w:rsid w:val="003B48C7"/>
    <w:rsid w:val="003C091A"/>
    <w:rsid w:val="003C0AB8"/>
    <w:rsid w:val="003C4F5B"/>
    <w:rsid w:val="003D0A73"/>
    <w:rsid w:val="003D4EBA"/>
    <w:rsid w:val="003E5006"/>
    <w:rsid w:val="003F6869"/>
    <w:rsid w:val="00405481"/>
    <w:rsid w:val="0041265B"/>
    <w:rsid w:val="00424507"/>
    <w:rsid w:val="004351E6"/>
    <w:rsid w:val="00443D24"/>
    <w:rsid w:val="00454EB0"/>
    <w:rsid w:val="0045736E"/>
    <w:rsid w:val="00461B09"/>
    <w:rsid w:val="00474DFF"/>
    <w:rsid w:val="00481305"/>
    <w:rsid w:val="00484546"/>
    <w:rsid w:val="0048673F"/>
    <w:rsid w:val="00492BB2"/>
    <w:rsid w:val="004A3288"/>
    <w:rsid w:val="004A429B"/>
    <w:rsid w:val="004A7B3F"/>
    <w:rsid w:val="004B4D14"/>
    <w:rsid w:val="004C0C63"/>
    <w:rsid w:val="004C1120"/>
    <w:rsid w:val="004D42E1"/>
    <w:rsid w:val="004D77AA"/>
    <w:rsid w:val="004E5B56"/>
    <w:rsid w:val="004E6A60"/>
    <w:rsid w:val="004F2D56"/>
    <w:rsid w:val="004F32C2"/>
    <w:rsid w:val="004F4826"/>
    <w:rsid w:val="00503318"/>
    <w:rsid w:val="00517B52"/>
    <w:rsid w:val="00522E5E"/>
    <w:rsid w:val="00543555"/>
    <w:rsid w:val="00544837"/>
    <w:rsid w:val="00570742"/>
    <w:rsid w:val="00571FB6"/>
    <w:rsid w:val="0057355B"/>
    <w:rsid w:val="0057551C"/>
    <w:rsid w:val="0057606F"/>
    <w:rsid w:val="00585F59"/>
    <w:rsid w:val="005A3D95"/>
    <w:rsid w:val="005B05D7"/>
    <w:rsid w:val="005B2AB0"/>
    <w:rsid w:val="005B2FF4"/>
    <w:rsid w:val="005B50D0"/>
    <w:rsid w:val="005D652D"/>
    <w:rsid w:val="005E35A8"/>
    <w:rsid w:val="005E45A6"/>
    <w:rsid w:val="005F7F8F"/>
    <w:rsid w:val="00625540"/>
    <w:rsid w:val="00633823"/>
    <w:rsid w:val="00644C6C"/>
    <w:rsid w:val="00655767"/>
    <w:rsid w:val="00670337"/>
    <w:rsid w:val="006776A7"/>
    <w:rsid w:val="006A32B1"/>
    <w:rsid w:val="006A3677"/>
    <w:rsid w:val="006A6527"/>
    <w:rsid w:val="006B54DE"/>
    <w:rsid w:val="006C2B86"/>
    <w:rsid w:val="006C7409"/>
    <w:rsid w:val="006D0D27"/>
    <w:rsid w:val="006D313E"/>
    <w:rsid w:val="006D6DEC"/>
    <w:rsid w:val="006E15B5"/>
    <w:rsid w:val="006E657B"/>
    <w:rsid w:val="006F7059"/>
    <w:rsid w:val="00705EF3"/>
    <w:rsid w:val="007124C5"/>
    <w:rsid w:val="00715FB7"/>
    <w:rsid w:val="00715FEF"/>
    <w:rsid w:val="007200BA"/>
    <w:rsid w:val="007318AB"/>
    <w:rsid w:val="00731A4F"/>
    <w:rsid w:val="00741D13"/>
    <w:rsid w:val="00743298"/>
    <w:rsid w:val="00743B48"/>
    <w:rsid w:val="00743C72"/>
    <w:rsid w:val="00747F46"/>
    <w:rsid w:val="0075153F"/>
    <w:rsid w:val="00777425"/>
    <w:rsid w:val="00787530"/>
    <w:rsid w:val="007970AC"/>
    <w:rsid w:val="0079711A"/>
    <w:rsid w:val="007A4595"/>
    <w:rsid w:val="007C042B"/>
    <w:rsid w:val="007C5FD4"/>
    <w:rsid w:val="007D1D59"/>
    <w:rsid w:val="007F4C3E"/>
    <w:rsid w:val="007F5FFC"/>
    <w:rsid w:val="008020C5"/>
    <w:rsid w:val="0080432E"/>
    <w:rsid w:val="00811C6C"/>
    <w:rsid w:val="00813595"/>
    <w:rsid w:val="00814147"/>
    <w:rsid w:val="00827F03"/>
    <w:rsid w:val="008322BB"/>
    <w:rsid w:val="00832C59"/>
    <w:rsid w:val="00842C80"/>
    <w:rsid w:val="008456BE"/>
    <w:rsid w:val="00846571"/>
    <w:rsid w:val="008507DB"/>
    <w:rsid w:val="00860B39"/>
    <w:rsid w:val="00894DED"/>
    <w:rsid w:val="008976FD"/>
    <w:rsid w:val="008B25BC"/>
    <w:rsid w:val="008B6980"/>
    <w:rsid w:val="008E21E5"/>
    <w:rsid w:val="00905177"/>
    <w:rsid w:val="00912BF2"/>
    <w:rsid w:val="00927B88"/>
    <w:rsid w:val="009349BC"/>
    <w:rsid w:val="009358DB"/>
    <w:rsid w:val="00937541"/>
    <w:rsid w:val="00946D24"/>
    <w:rsid w:val="00971356"/>
    <w:rsid w:val="0097183E"/>
    <w:rsid w:val="00972958"/>
    <w:rsid w:val="009743D9"/>
    <w:rsid w:val="009751F0"/>
    <w:rsid w:val="009835B7"/>
    <w:rsid w:val="00984BCA"/>
    <w:rsid w:val="00994FDB"/>
    <w:rsid w:val="009966A3"/>
    <w:rsid w:val="009A2AC8"/>
    <w:rsid w:val="009B356B"/>
    <w:rsid w:val="009D190F"/>
    <w:rsid w:val="009D58CE"/>
    <w:rsid w:val="009E3870"/>
    <w:rsid w:val="00A13554"/>
    <w:rsid w:val="00A138E6"/>
    <w:rsid w:val="00A16341"/>
    <w:rsid w:val="00A23643"/>
    <w:rsid w:val="00A23E70"/>
    <w:rsid w:val="00A2616A"/>
    <w:rsid w:val="00A34950"/>
    <w:rsid w:val="00A4025A"/>
    <w:rsid w:val="00A42553"/>
    <w:rsid w:val="00A44548"/>
    <w:rsid w:val="00A5142F"/>
    <w:rsid w:val="00A572C9"/>
    <w:rsid w:val="00A70075"/>
    <w:rsid w:val="00A705FD"/>
    <w:rsid w:val="00A707EC"/>
    <w:rsid w:val="00A97FD2"/>
    <w:rsid w:val="00AA6CBF"/>
    <w:rsid w:val="00AC654F"/>
    <w:rsid w:val="00AE3D50"/>
    <w:rsid w:val="00AE4BE3"/>
    <w:rsid w:val="00AF07B6"/>
    <w:rsid w:val="00AF14D6"/>
    <w:rsid w:val="00AF3B7F"/>
    <w:rsid w:val="00AF6E90"/>
    <w:rsid w:val="00AF7575"/>
    <w:rsid w:val="00B02A35"/>
    <w:rsid w:val="00B212BD"/>
    <w:rsid w:val="00B27270"/>
    <w:rsid w:val="00B344A9"/>
    <w:rsid w:val="00B36F48"/>
    <w:rsid w:val="00B52DD8"/>
    <w:rsid w:val="00B54383"/>
    <w:rsid w:val="00B544D2"/>
    <w:rsid w:val="00B70BE9"/>
    <w:rsid w:val="00B83037"/>
    <w:rsid w:val="00B90A26"/>
    <w:rsid w:val="00B94FEF"/>
    <w:rsid w:val="00BA23EE"/>
    <w:rsid w:val="00BA6D51"/>
    <w:rsid w:val="00BD1BDD"/>
    <w:rsid w:val="00BD293D"/>
    <w:rsid w:val="00BD459B"/>
    <w:rsid w:val="00BD5112"/>
    <w:rsid w:val="00BD5E2A"/>
    <w:rsid w:val="00BE532B"/>
    <w:rsid w:val="00BE7433"/>
    <w:rsid w:val="00BE7E2A"/>
    <w:rsid w:val="00C06739"/>
    <w:rsid w:val="00C15114"/>
    <w:rsid w:val="00C176F5"/>
    <w:rsid w:val="00C21476"/>
    <w:rsid w:val="00C2223F"/>
    <w:rsid w:val="00C23973"/>
    <w:rsid w:val="00C30BA1"/>
    <w:rsid w:val="00C33582"/>
    <w:rsid w:val="00C46DE2"/>
    <w:rsid w:val="00C52E1E"/>
    <w:rsid w:val="00C66705"/>
    <w:rsid w:val="00C83989"/>
    <w:rsid w:val="00C914B3"/>
    <w:rsid w:val="00C927EB"/>
    <w:rsid w:val="00C95294"/>
    <w:rsid w:val="00CA29A3"/>
    <w:rsid w:val="00CA3179"/>
    <w:rsid w:val="00CC6E62"/>
    <w:rsid w:val="00CD0C56"/>
    <w:rsid w:val="00D02FA1"/>
    <w:rsid w:val="00D03E50"/>
    <w:rsid w:val="00D07679"/>
    <w:rsid w:val="00D114A3"/>
    <w:rsid w:val="00D60ACF"/>
    <w:rsid w:val="00D62353"/>
    <w:rsid w:val="00D6575F"/>
    <w:rsid w:val="00D9272A"/>
    <w:rsid w:val="00DB6D80"/>
    <w:rsid w:val="00DC068F"/>
    <w:rsid w:val="00DC342E"/>
    <w:rsid w:val="00DD1F4E"/>
    <w:rsid w:val="00DE1E3B"/>
    <w:rsid w:val="00DE4185"/>
    <w:rsid w:val="00DF087A"/>
    <w:rsid w:val="00DF1E7B"/>
    <w:rsid w:val="00E26E72"/>
    <w:rsid w:val="00E3058B"/>
    <w:rsid w:val="00E3240D"/>
    <w:rsid w:val="00E343D2"/>
    <w:rsid w:val="00E41A38"/>
    <w:rsid w:val="00E42467"/>
    <w:rsid w:val="00E461FE"/>
    <w:rsid w:val="00E46981"/>
    <w:rsid w:val="00E54BA2"/>
    <w:rsid w:val="00E60240"/>
    <w:rsid w:val="00E6480D"/>
    <w:rsid w:val="00E653DB"/>
    <w:rsid w:val="00E65A0D"/>
    <w:rsid w:val="00E711F2"/>
    <w:rsid w:val="00E84EB7"/>
    <w:rsid w:val="00E90AE7"/>
    <w:rsid w:val="00EA5706"/>
    <w:rsid w:val="00EA6831"/>
    <w:rsid w:val="00EA7265"/>
    <w:rsid w:val="00EA7F14"/>
    <w:rsid w:val="00EC3BDB"/>
    <w:rsid w:val="00EC568C"/>
    <w:rsid w:val="00EC73FA"/>
    <w:rsid w:val="00ED2257"/>
    <w:rsid w:val="00ED3355"/>
    <w:rsid w:val="00EF1B10"/>
    <w:rsid w:val="00EF3D30"/>
    <w:rsid w:val="00F0407A"/>
    <w:rsid w:val="00F069A1"/>
    <w:rsid w:val="00F073D0"/>
    <w:rsid w:val="00F07C3B"/>
    <w:rsid w:val="00F1572D"/>
    <w:rsid w:val="00F2160F"/>
    <w:rsid w:val="00F21C93"/>
    <w:rsid w:val="00F31647"/>
    <w:rsid w:val="00F37818"/>
    <w:rsid w:val="00F37DF1"/>
    <w:rsid w:val="00F4674F"/>
    <w:rsid w:val="00F504B1"/>
    <w:rsid w:val="00F53814"/>
    <w:rsid w:val="00F55772"/>
    <w:rsid w:val="00F617A3"/>
    <w:rsid w:val="00F61ED2"/>
    <w:rsid w:val="00F754AC"/>
    <w:rsid w:val="00F930E6"/>
    <w:rsid w:val="00FA1ADA"/>
    <w:rsid w:val="00FA4F3B"/>
    <w:rsid w:val="00FC083B"/>
    <w:rsid w:val="00FD27E9"/>
    <w:rsid w:val="00FE34AE"/>
    <w:rsid w:val="00FE528F"/>
    <w:rsid w:val="00FE55FA"/>
    <w:rsid w:val="00FF1EA0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C52F"/>
  <w15:chartTrackingRefBased/>
  <w15:docId w15:val="{AE0133B3-290C-4709-9535-8850DF2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3B"/>
  </w:style>
  <w:style w:type="paragraph" w:styleId="Heading1">
    <w:name w:val="heading 1"/>
    <w:basedOn w:val="Normal"/>
    <w:link w:val="Heading1Char"/>
    <w:uiPriority w:val="9"/>
    <w:qFormat/>
    <w:rsid w:val="00625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270"/>
  </w:style>
  <w:style w:type="paragraph" w:styleId="Footer">
    <w:name w:val="footer"/>
    <w:basedOn w:val="Normal"/>
    <w:link w:val="FooterChar"/>
    <w:uiPriority w:val="99"/>
    <w:unhideWhenUsed/>
    <w:rsid w:val="00B2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270"/>
  </w:style>
  <w:style w:type="paragraph" w:styleId="FootnoteText">
    <w:name w:val="footnote text"/>
    <w:basedOn w:val="Normal"/>
    <w:link w:val="FootnoteTextChar"/>
    <w:uiPriority w:val="99"/>
    <w:semiHidden/>
    <w:unhideWhenUsed/>
    <w:rsid w:val="00AA6C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CB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57B"/>
    <w:pPr>
      <w:spacing w:after="0" w:line="240" w:lineRule="auto"/>
    </w:pPr>
    <w:rPr>
      <w:rFonts w:ascii="Segoe UI" w:hAnsi="Segoe UI" w:cs="Segoe UI"/>
      <w:sz w:val="18"/>
      <w:szCs w:val="18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7B"/>
    <w:rPr>
      <w:rFonts w:ascii="Segoe UI" w:hAnsi="Segoe UI" w:cs="Segoe UI"/>
      <w:sz w:val="18"/>
      <w:szCs w:val="18"/>
      <w:lang w:val="id-ID"/>
    </w:rPr>
  </w:style>
  <w:style w:type="paragraph" w:customStyle="1" w:styleId="Default">
    <w:name w:val="Default"/>
    <w:rsid w:val="005F7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tyle19">
    <w:name w:val="Style 19"/>
    <w:basedOn w:val="Normal"/>
    <w:rsid w:val="006A3677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 10"/>
    <w:basedOn w:val="Normal"/>
    <w:rsid w:val="006A3677"/>
    <w:pPr>
      <w:widowControl w:val="0"/>
      <w:autoSpaceDE w:val="0"/>
      <w:autoSpaceDN w:val="0"/>
      <w:spacing w:after="0" w:line="240" w:lineRule="auto"/>
      <w:ind w:left="4320" w:right="1080" w:hanging="43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 11"/>
    <w:basedOn w:val="Normal"/>
    <w:rsid w:val="006A3677"/>
    <w:pPr>
      <w:widowControl w:val="0"/>
      <w:autoSpaceDE w:val="0"/>
      <w:autoSpaceDN w:val="0"/>
      <w:spacing w:after="0" w:line="252" w:lineRule="atLeast"/>
      <w:ind w:left="4176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5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54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5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492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ublikrepo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78939-313D-4DBD-96B2-872FFBE0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2019-10-01T07:22:00Z</cp:lastPrinted>
  <dcterms:created xsi:type="dcterms:W3CDTF">2020-03-23T01:18:00Z</dcterms:created>
  <dcterms:modified xsi:type="dcterms:W3CDTF">2020-03-23T03:01:00Z</dcterms:modified>
</cp:coreProperties>
</file>