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46" w:rsidRPr="000E2493" w:rsidRDefault="00984646" w:rsidP="007D08E6">
      <w:pPr>
        <w:spacing w:after="0" w:line="360" w:lineRule="auto"/>
        <w:jc w:val="both"/>
        <w:rPr>
          <w:rFonts w:ascii="Times New Roman" w:hAnsi="Times New Roman" w:cs="Times New Roman"/>
          <w:noProof/>
        </w:rPr>
      </w:pPr>
    </w:p>
    <w:p w:rsidR="007D08E6" w:rsidRDefault="00E74028" w:rsidP="00E1107D">
      <w:pPr>
        <w:spacing w:after="0" w:line="360" w:lineRule="auto"/>
        <w:jc w:val="center"/>
        <w:rPr>
          <w:rFonts w:ascii="Times New Roman" w:hAnsi="Times New Roman" w:cs="Times New Roman"/>
        </w:rPr>
      </w:pPr>
      <w:r w:rsidRPr="006651B3">
        <w:rPr>
          <w:rFonts w:ascii="Times New Roman" w:hAnsi="Times New Roman" w:cs="Times New Roman"/>
          <w:b/>
          <w:noProof/>
        </w:rPr>
        <w:t>KEJARI MATARAM BANDING VONIS TERDAKWA KORUPSI PROYEK WISATA</w:t>
      </w:r>
      <w:r w:rsidR="006651B3" w:rsidRPr="006651B3">
        <w:rPr>
          <w:rFonts w:ascii="Times New Roman" w:hAnsi="Times New Roman" w:cs="Times New Roman"/>
          <w:b/>
          <w:noProof/>
        </w:rPr>
        <w:t xml:space="preserve"> </w:t>
      </w:r>
    </w:p>
    <w:p w:rsidR="007D08E6" w:rsidRDefault="007D08E6" w:rsidP="007D08E6">
      <w:pPr>
        <w:spacing w:after="0" w:line="360" w:lineRule="auto"/>
        <w:jc w:val="center"/>
        <w:rPr>
          <w:rFonts w:ascii="Times New Roman" w:hAnsi="Times New Roman" w:cs="Times New Roman"/>
          <w:sz w:val="18"/>
          <w:szCs w:val="18"/>
        </w:rPr>
      </w:pPr>
    </w:p>
    <w:p w:rsidR="00CD73E0" w:rsidRDefault="00CB0F2F" w:rsidP="007D08E6">
      <w:pPr>
        <w:spacing w:after="0" w:line="360" w:lineRule="auto"/>
        <w:jc w:val="center"/>
        <w:rPr>
          <w:rFonts w:ascii="Times New Roman" w:hAnsi="Times New Roman" w:cs="Times New Roman"/>
          <w:sz w:val="18"/>
          <w:szCs w:val="18"/>
        </w:rPr>
      </w:pPr>
      <w:r>
        <w:rPr>
          <w:rFonts w:ascii="Times New Roman" w:hAnsi="Times New Roman" w:cs="Times New Roman"/>
          <w:noProof/>
          <w:sz w:val="18"/>
          <w:szCs w:val="18"/>
          <w:lang w:val="id-ID" w:eastAsia="id-ID"/>
        </w:rPr>
        <w:drawing>
          <wp:inline distT="0" distB="0" distL="0" distR="0">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aya Hukum.jpe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7D08E6" w:rsidRPr="007D08E6" w:rsidRDefault="00DC5833" w:rsidP="007D08E6">
      <w:pPr>
        <w:spacing w:after="0" w:line="360" w:lineRule="auto"/>
        <w:jc w:val="center"/>
        <w:rPr>
          <w:rFonts w:ascii="Times New Roman" w:hAnsi="Times New Roman" w:cs="Times New Roman"/>
          <w:sz w:val="18"/>
          <w:szCs w:val="18"/>
        </w:rPr>
      </w:pPr>
      <w:r w:rsidRPr="00DC5833">
        <w:rPr>
          <w:rFonts w:ascii="Times New Roman" w:hAnsi="Times New Roman" w:cs="Times New Roman"/>
          <w:sz w:val="18"/>
          <w:szCs w:val="18"/>
        </w:rPr>
        <w:t>https://www.google.com/search</w:t>
      </w:r>
    </w:p>
    <w:p w:rsidR="006651B3" w:rsidRPr="006651B3" w:rsidRDefault="006651B3" w:rsidP="006651B3">
      <w:pPr>
        <w:spacing w:after="0" w:line="360" w:lineRule="auto"/>
        <w:jc w:val="both"/>
        <w:rPr>
          <w:rFonts w:ascii="Times New Roman" w:hAnsi="Times New Roman" w:cs="Times New Roman"/>
        </w:rPr>
      </w:pPr>
      <w:r w:rsidRPr="006651B3">
        <w:rPr>
          <w:rFonts w:ascii="Times New Roman" w:hAnsi="Times New Roman" w:cs="Times New Roman"/>
        </w:rPr>
        <w:t>Mataram (Inside Lombok) – Kejaksaan Negeri (</w:t>
      </w:r>
      <w:proofErr w:type="spellStart"/>
      <w:r w:rsidRPr="006651B3">
        <w:rPr>
          <w:rFonts w:ascii="Times New Roman" w:hAnsi="Times New Roman" w:cs="Times New Roman"/>
        </w:rPr>
        <w:t>Kejari</w:t>
      </w:r>
      <w:proofErr w:type="spellEnd"/>
      <w:r w:rsidRPr="006651B3">
        <w:rPr>
          <w:rFonts w:ascii="Times New Roman" w:hAnsi="Times New Roman" w:cs="Times New Roman"/>
        </w:rPr>
        <w:t>) Mataram, Nusa Tenggara Barat (NTB) siap mengajukan upaya hukum banding terkait vonis empat tahun penjara untuk mantan Kepala Dinas Pariwisata (</w:t>
      </w:r>
      <w:proofErr w:type="spellStart"/>
      <w:r w:rsidRPr="006651B3">
        <w:rPr>
          <w:rFonts w:ascii="Times New Roman" w:hAnsi="Times New Roman" w:cs="Times New Roman"/>
        </w:rPr>
        <w:t>Kadispar</w:t>
      </w:r>
      <w:proofErr w:type="spellEnd"/>
      <w:r w:rsidRPr="006651B3">
        <w:rPr>
          <w:rFonts w:ascii="Times New Roman" w:hAnsi="Times New Roman" w:cs="Times New Roman"/>
        </w:rPr>
        <w:t xml:space="preserve">) Lombok Barat </w:t>
      </w:r>
      <w:proofErr w:type="spellStart"/>
      <w:r w:rsidRPr="006651B3">
        <w:rPr>
          <w:rFonts w:ascii="Times New Roman" w:hAnsi="Times New Roman" w:cs="Times New Roman"/>
        </w:rPr>
        <w:t>Ispan</w:t>
      </w:r>
      <w:proofErr w:type="spellEnd"/>
      <w:r w:rsidRPr="006651B3">
        <w:rPr>
          <w:rFonts w:ascii="Times New Roman" w:hAnsi="Times New Roman" w:cs="Times New Roman"/>
        </w:rPr>
        <w:t xml:space="preserve"> </w:t>
      </w:r>
      <w:proofErr w:type="spellStart"/>
      <w:r w:rsidRPr="006651B3">
        <w:rPr>
          <w:rFonts w:ascii="Times New Roman" w:hAnsi="Times New Roman" w:cs="Times New Roman"/>
        </w:rPr>
        <w:t>Junaidi</w:t>
      </w:r>
      <w:proofErr w:type="spellEnd"/>
      <w:r w:rsidRPr="006651B3">
        <w:rPr>
          <w:rFonts w:ascii="Times New Roman" w:hAnsi="Times New Roman" w:cs="Times New Roman"/>
        </w:rPr>
        <w:t xml:space="preserve">, terdakwa korupsi proyek penataan kawasan wisata </w:t>
      </w:r>
      <w:proofErr w:type="spellStart"/>
      <w:r w:rsidRPr="006651B3">
        <w:rPr>
          <w:rFonts w:ascii="Times New Roman" w:hAnsi="Times New Roman" w:cs="Times New Roman"/>
        </w:rPr>
        <w:t>Pusuk</w:t>
      </w:r>
      <w:proofErr w:type="spellEnd"/>
      <w:r w:rsidRPr="006651B3">
        <w:rPr>
          <w:rFonts w:ascii="Times New Roman" w:hAnsi="Times New Roman" w:cs="Times New Roman"/>
        </w:rPr>
        <w:t xml:space="preserve"> Lestari.</w:t>
      </w:r>
    </w:p>
    <w:p w:rsidR="006651B3" w:rsidRPr="006651B3" w:rsidRDefault="006651B3" w:rsidP="006651B3">
      <w:pPr>
        <w:spacing w:after="0" w:line="360" w:lineRule="auto"/>
        <w:jc w:val="both"/>
        <w:rPr>
          <w:rFonts w:ascii="Times New Roman" w:hAnsi="Times New Roman" w:cs="Times New Roman"/>
        </w:rPr>
      </w:pPr>
      <w:r w:rsidRPr="006651B3">
        <w:rPr>
          <w:rFonts w:ascii="Times New Roman" w:hAnsi="Times New Roman" w:cs="Times New Roman"/>
        </w:rPr>
        <w:t>“Karena itu baru setengah dari tuntutan</w:t>
      </w:r>
      <w:r w:rsidR="006C456B">
        <w:rPr>
          <w:rStyle w:val="EndnoteReference"/>
          <w:rFonts w:ascii="Times New Roman" w:hAnsi="Times New Roman" w:cs="Times New Roman"/>
        </w:rPr>
        <w:endnoteReference w:id="1"/>
      </w:r>
      <w:r w:rsidRPr="006651B3">
        <w:rPr>
          <w:rFonts w:ascii="Times New Roman" w:hAnsi="Times New Roman" w:cs="Times New Roman"/>
        </w:rPr>
        <w:t xml:space="preserve">. Belum dua per tiga seperti SOP,” kata Kepala </w:t>
      </w:r>
      <w:proofErr w:type="spellStart"/>
      <w:r w:rsidRPr="006651B3">
        <w:rPr>
          <w:rFonts w:ascii="Times New Roman" w:hAnsi="Times New Roman" w:cs="Times New Roman"/>
        </w:rPr>
        <w:t>Kejari</w:t>
      </w:r>
      <w:proofErr w:type="spellEnd"/>
      <w:r w:rsidRPr="006651B3">
        <w:rPr>
          <w:rFonts w:ascii="Times New Roman" w:hAnsi="Times New Roman" w:cs="Times New Roman"/>
        </w:rPr>
        <w:t xml:space="preserve"> Mataram Yusuf, di Mataram, Kamis.</w:t>
      </w:r>
      <w:r w:rsidR="003F7C46">
        <w:rPr>
          <w:rFonts w:ascii="Times New Roman" w:hAnsi="Times New Roman" w:cs="Times New Roman"/>
        </w:rPr>
        <w:t xml:space="preserve"> </w:t>
      </w:r>
      <w:r w:rsidRPr="006651B3">
        <w:rPr>
          <w:rFonts w:ascii="Times New Roman" w:hAnsi="Times New Roman" w:cs="Times New Roman"/>
        </w:rPr>
        <w:t xml:space="preserve">Yusuf melihat vonis yang diberikan Majelis Hakim Pengadilan Negeri </w:t>
      </w:r>
      <w:proofErr w:type="spellStart"/>
      <w:r w:rsidRPr="006651B3">
        <w:rPr>
          <w:rFonts w:ascii="Times New Roman" w:hAnsi="Times New Roman" w:cs="Times New Roman"/>
        </w:rPr>
        <w:t>Tipikor</w:t>
      </w:r>
      <w:proofErr w:type="spellEnd"/>
      <w:r w:rsidRPr="006651B3">
        <w:rPr>
          <w:rFonts w:ascii="Times New Roman" w:hAnsi="Times New Roman" w:cs="Times New Roman"/>
        </w:rPr>
        <w:t xml:space="preserve"> Mataram kepada terdakwa belum mencerminkan rasa keadilan. Hal tersebut dilihat dari putusan yang hanya setengah dari tuntutan jaksa.</w:t>
      </w:r>
    </w:p>
    <w:p w:rsidR="006651B3" w:rsidRPr="006651B3" w:rsidRDefault="006651B3" w:rsidP="006651B3">
      <w:pPr>
        <w:spacing w:after="0" w:line="360" w:lineRule="auto"/>
        <w:jc w:val="both"/>
        <w:rPr>
          <w:rFonts w:ascii="Times New Roman" w:hAnsi="Times New Roman" w:cs="Times New Roman"/>
        </w:rPr>
      </w:pPr>
      <w:r w:rsidRPr="006651B3">
        <w:rPr>
          <w:rFonts w:ascii="Times New Roman" w:hAnsi="Times New Roman" w:cs="Times New Roman"/>
        </w:rPr>
        <w:t>“Kalau kita hitung belum sampai dua per tiga dari tuntutan, sehingga wajar jaksa ambil sikap banding. Intinya dari putusan belum mencerminkan rasa keadilan,” ujarnya lagi.</w:t>
      </w:r>
      <w:r w:rsidR="003F7C46">
        <w:rPr>
          <w:rFonts w:ascii="Times New Roman" w:hAnsi="Times New Roman" w:cs="Times New Roman"/>
        </w:rPr>
        <w:t xml:space="preserve"> </w:t>
      </w:r>
      <w:r w:rsidRPr="006651B3">
        <w:rPr>
          <w:rFonts w:ascii="Times New Roman" w:hAnsi="Times New Roman" w:cs="Times New Roman"/>
        </w:rPr>
        <w:t xml:space="preserve">Terdakwa </w:t>
      </w:r>
      <w:proofErr w:type="spellStart"/>
      <w:r w:rsidRPr="006651B3">
        <w:rPr>
          <w:rFonts w:ascii="Times New Roman" w:hAnsi="Times New Roman" w:cs="Times New Roman"/>
        </w:rPr>
        <w:t>Ispan</w:t>
      </w:r>
      <w:proofErr w:type="spellEnd"/>
      <w:r w:rsidRPr="006651B3">
        <w:rPr>
          <w:rFonts w:ascii="Times New Roman" w:hAnsi="Times New Roman" w:cs="Times New Roman"/>
        </w:rPr>
        <w:t xml:space="preserve"> </w:t>
      </w:r>
      <w:proofErr w:type="spellStart"/>
      <w:r w:rsidRPr="006651B3">
        <w:rPr>
          <w:rFonts w:ascii="Times New Roman" w:hAnsi="Times New Roman" w:cs="Times New Roman"/>
        </w:rPr>
        <w:t>Junaidi</w:t>
      </w:r>
      <w:proofErr w:type="spellEnd"/>
      <w:r w:rsidRPr="006651B3">
        <w:rPr>
          <w:rFonts w:ascii="Times New Roman" w:hAnsi="Times New Roman" w:cs="Times New Roman"/>
        </w:rPr>
        <w:t xml:space="preserve"> dihukum bersalah oleh Pengadilan Negeri </w:t>
      </w:r>
      <w:proofErr w:type="spellStart"/>
      <w:r w:rsidRPr="006651B3">
        <w:rPr>
          <w:rFonts w:ascii="Times New Roman" w:hAnsi="Times New Roman" w:cs="Times New Roman"/>
        </w:rPr>
        <w:t>Tipikor</w:t>
      </w:r>
      <w:proofErr w:type="spellEnd"/>
      <w:r w:rsidRPr="006651B3">
        <w:rPr>
          <w:rFonts w:ascii="Times New Roman" w:hAnsi="Times New Roman" w:cs="Times New Roman"/>
        </w:rPr>
        <w:t xml:space="preserve"> Mataram, karena terbukti menerima uang fee proyek dari kontraktor pelaksana penataan kawasan wisata </w:t>
      </w:r>
      <w:proofErr w:type="spellStart"/>
      <w:r w:rsidRPr="006651B3">
        <w:rPr>
          <w:rFonts w:ascii="Times New Roman" w:hAnsi="Times New Roman" w:cs="Times New Roman"/>
        </w:rPr>
        <w:t>Pusuk</w:t>
      </w:r>
      <w:proofErr w:type="spellEnd"/>
      <w:r w:rsidRPr="006651B3">
        <w:rPr>
          <w:rFonts w:ascii="Times New Roman" w:hAnsi="Times New Roman" w:cs="Times New Roman"/>
        </w:rPr>
        <w:t xml:space="preserve"> Lestari sebesar Rp73</w:t>
      </w:r>
      <w:proofErr w:type="gramStart"/>
      <w:r w:rsidRPr="006651B3">
        <w:rPr>
          <w:rFonts w:ascii="Times New Roman" w:hAnsi="Times New Roman" w:cs="Times New Roman"/>
        </w:rPr>
        <w:t>,5</w:t>
      </w:r>
      <w:proofErr w:type="gramEnd"/>
      <w:r w:rsidRPr="006651B3">
        <w:rPr>
          <w:rFonts w:ascii="Times New Roman" w:hAnsi="Times New Roman" w:cs="Times New Roman"/>
        </w:rPr>
        <w:t xml:space="preserve"> juta.</w:t>
      </w:r>
    </w:p>
    <w:p w:rsidR="006651B3" w:rsidRPr="006651B3" w:rsidRDefault="006651B3" w:rsidP="006651B3">
      <w:pPr>
        <w:spacing w:after="0" w:line="360" w:lineRule="auto"/>
        <w:jc w:val="both"/>
        <w:rPr>
          <w:rFonts w:ascii="Times New Roman" w:hAnsi="Times New Roman" w:cs="Times New Roman"/>
        </w:rPr>
      </w:pPr>
      <w:r w:rsidRPr="006651B3">
        <w:rPr>
          <w:rFonts w:ascii="Times New Roman" w:hAnsi="Times New Roman" w:cs="Times New Roman"/>
        </w:rPr>
        <w:t xml:space="preserve">Karenanya, majelis hakim menjatuhkan hukuman kepada </w:t>
      </w:r>
      <w:proofErr w:type="spellStart"/>
      <w:r w:rsidRPr="006651B3">
        <w:rPr>
          <w:rFonts w:ascii="Times New Roman" w:hAnsi="Times New Roman" w:cs="Times New Roman"/>
        </w:rPr>
        <w:t>Ispan</w:t>
      </w:r>
      <w:proofErr w:type="spellEnd"/>
      <w:r w:rsidRPr="006651B3">
        <w:rPr>
          <w:rFonts w:ascii="Times New Roman" w:hAnsi="Times New Roman" w:cs="Times New Roman"/>
        </w:rPr>
        <w:t xml:space="preserve"> selama empat tahun penjara dengan denda Rp59 juta subsider tiga bulan kurungan.</w:t>
      </w:r>
    </w:p>
    <w:p w:rsidR="006651B3" w:rsidRPr="006651B3" w:rsidRDefault="006651B3" w:rsidP="006651B3">
      <w:pPr>
        <w:spacing w:after="0" w:line="360" w:lineRule="auto"/>
        <w:jc w:val="both"/>
        <w:rPr>
          <w:rFonts w:ascii="Times New Roman" w:hAnsi="Times New Roman" w:cs="Times New Roman"/>
        </w:rPr>
      </w:pPr>
      <w:r w:rsidRPr="006651B3">
        <w:rPr>
          <w:rFonts w:ascii="Times New Roman" w:hAnsi="Times New Roman" w:cs="Times New Roman"/>
        </w:rPr>
        <w:t>Barang bukti</w:t>
      </w:r>
      <w:r w:rsidR="006C456B">
        <w:rPr>
          <w:rStyle w:val="EndnoteReference"/>
          <w:rFonts w:ascii="Times New Roman" w:hAnsi="Times New Roman" w:cs="Times New Roman"/>
        </w:rPr>
        <w:endnoteReference w:id="2"/>
      </w:r>
      <w:r w:rsidRPr="006651B3">
        <w:rPr>
          <w:rFonts w:ascii="Times New Roman" w:hAnsi="Times New Roman" w:cs="Times New Roman"/>
        </w:rPr>
        <w:t xml:space="preserve"> uang tunai Rp73</w:t>
      </w:r>
      <w:proofErr w:type="gramStart"/>
      <w:r w:rsidRPr="006651B3">
        <w:rPr>
          <w:rFonts w:ascii="Times New Roman" w:hAnsi="Times New Roman" w:cs="Times New Roman"/>
        </w:rPr>
        <w:t>,5</w:t>
      </w:r>
      <w:proofErr w:type="gramEnd"/>
      <w:r w:rsidRPr="006651B3">
        <w:rPr>
          <w:rFonts w:ascii="Times New Roman" w:hAnsi="Times New Roman" w:cs="Times New Roman"/>
        </w:rPr>
        <w:t xml:space="preserve"> juta yang berhasil diamankan dari operasi tangkap tangan (OTT) kejaksaan, diminta untuk diserahkan ke negara. Demikian juga berlaku untuk uang tunai Rp5 juta, Rp2 juta, dan Rp15 juta yang disita dari amplop terpisah.</w:t>
      </w:r>
    </w:p>
    <w:p w:rsidR="006651B3" w:rsidRPr="006651B3" w:rsidRDefault="006651B3" w:rsidP="006651B3">
      <w:pPr>
        <w:spacing w:after="0" w:line="360" w:lineRule="auto"/>
        <w:jc w:val="both"/>
        <w:rPr>
          <w:rFonts w:ascii="Times New Roman" w:hAnsi="Times New Roman" w:cs="Times New Roman"/>
        </w:rPr>
      </w:pPr>
      <w:r w:rsidRPr="006651B3">
        <w:rPr>
          <w:rFonts w:ascii="Times New Roman" w:hAnsi="Times New Roman" w:cs="Times New Roman"/>
        </w:rPr>
        <w:t>Sebelum adanya putusan, jaksa mengajukan tuntutan tujuh tahun penjara dengan denda Rp50 juta subsider enam bulan kurungan.</w:t>
      </w:r>
    </w:p>
    <w:p w:rsidR="006651B3" w:rsidRPr="006651B3" w:rsidRDefault="006651B3" w:rsidP="006651B3">
      <w:pPr>
        <w:spacing w:after="0" w:line="360" w:lineRule="auto"/>
        <w:jc w:val="both"/>
        <w:rPr>
          <w:rFonts w:ascii="Times New Roman" w:hAnsi="Times New Roman" w:cs="Times New Roman"/>
        </w:rPr>
      </w:pPr>
      <w:r w:rsidRPr="006651B3">
        <w:rPr>
          <w:rFonts w:ascii="Times New Roman" w:hAnsi="Times New Roman" w:cs="Times New Roman"/>
        </w:rPr>
        <w:t>Dakwaan yang terbukti yakni pasal 11 Undang-Undang RI Nomor 20/2001 tentang perubahan atas Undang-Undang RI Nomor 31/1999 tentang Pemberantasan Tindak Pidana Korupsi.</w:t>
      </w:r>
    </w:p>
    <w:p w:rsidR="006651B3" w:rsidRPr="006651B3" w:rsidRDefault="006651B3" w:rsidP="006651B3">
      <w:pPr>
        <w:spacing w:after="0" w:line="360" w:lineRule="auto"/>
        <w:jc w:val="both"/>
        <w:rPr>
          <w:rFonts w:ascii="Times New Roman" w:hAnsi="Times New Roman" w:cs="Times New Roman"/>
        </w:rPr>
      </w:pPr>
      <w:r w:rsidRPr="006651B3">
        <w:rPr>
          <w:rFonts w:ascii="Times New Roman" w:hAnsi="Times New Roman" w:cs="Times New Roman"/>
        </w:rPr>
        <w:t xml:space="preserve">Dalam perkara itu, </w:t>
      </w:r>
      <w:proofErr w:type="spellStart"/>
      <w:r w:rsidRPr="006651B3">
        <w:rPr>
          <w:rFonts w:ascii="Times New Roman" w:hAnsi="Times New Roman" w:cs="Times New Roman"/>
        </w:rPr>
        <w:t>Ispan</w:t>
      </w:r>
      <w:proofErr w:type="spellEnd"/>
      <w:r w:rsidRPr="006651B3">
        <w:rPr>
          <w:rFonts w:ascii="Times New Roman" w:hAnsi="Times New Roman" w:cs="Times New Roman"/>
        </w:rPr>
        <w:t xml:space="preserve"> terbukti menerima fee dari rekanan penataan kawasan wisata </w:t>
      </w:r>
      <w:proofErr w:type="spellStart"/>
      <w:r w:rsidRPr="006651B3">
        <w:rPr>
          <w:rFonts w:ascii="Times New Roman" w:hAnsi="Times New Roman" w:cs="Times New Roman"/>
        </w:rPr>
        <w:t>Pusuk</w:t>
      </w:r>
      <w:proofErr w:type="spellEnd"/>
      <w:r w:rsidRPr="006651B3">
        <w:rPr>
          <w:rFonts w:ascii="Times New Roman" w:hAnsi="Times New Roman" w:cs="Times New Roman"/>
        </w:rPr>
        <w:t xml:space="preserve"> Lestari, </w:t>
      </w:r>
      <w:proofErr w:type="spellStart"/>
      <w:r w:rsidRPr="006651B3">
        <w:rPr>
          <w:rFonts w:ascii="Times New Roman" w:hAnsi="Times New Roman" w:cs="Times New Roman"/>
        </w:rPr>
        <w:t>Batulayar</w:t>
      </w:r>
      <w:proofErr w:type="spellEnd"/>
      <w:r w:rsidRPr="006651B3">
        <w:rPr>
          <w:rFonts w:ascii="Times New Roman" w:hAnsi="Times New Roman" w:cs="Times New Roman"/>
        </w:rPr>
        <w:t>, Kabupaten Lombok Barat. Proyek itu dikerjakan CV Titian Jati dengan anggaran Rp1</w:t>
      </w:r>
      <w:proofErr w:type="gramStart"/>
      <w:r w:rsidRPr="006651B3">
        <w:rPr>
          <w:rFonts w:ascii="Times New Roman" w:hAnsi="Times New Roman" w:cs="Times New Roman"/>
        </w:rPr>
        <w:t>,58</w:t>
      </w:r>
      <w:proofErr w:type="gramEnd"/>
      <w:r w:rsidRPr="006651B3">
        <w:rPr>
          <w:rFonts w:ascii="Times New Roman" w:hAnsi="Times New Roman" w:cs="Times New Roman"/>
        </w:rPr>
        <w:t xml:space="preserve"> miliar.</w:t>
      </w:r>
    </w:p>
    <w:p w:rsidR="004373DC" w:rsidRPr="000E2493" w:rsidRDefault="006651B3" w:rsidP="007D08E6">
      <w:pPr>
        <w:spacing w:after="0" w:line="360" w:lineRule="auto"/>
        <w:jc w:val="both"/>
        <w:rPr>
          <w:rFonts w:ascii="Times New Roman" w:hAnsi="Times New Roman" w:cs="Times New Roman"/>
        </w:rPr>
      </w:pPr>
      <w:r w:rsidRPr="006651B3">
        <w:rPr>
          <w:rFonts w:ascii="Times New Roman" w:hAnsi="Times New Roman" w:cs="Times New Roman"/>
        </w:rPr>
        <w:lastRenderedPageBreak/>
        <w:t>Terdakwa awalnya meminta fee</w:t>
      </w:r>
      <w:r w:rsidR="000C3750">
        <w:rPr>
          <w:rStyle w:val="EndnoteReference"/>
          <w:rFonts w:ascii="Times New Roman" w:hAnsi="Times New Roman" w:cs="Times New Roman"/>
        </w:rPr>
        <w:endnoteReference w:id="3"/>
      </w:r>
      <w:r w:rsidRPr="006651B3">
        <w:rPr>
          <w:rFonts w:ascii="Times New Roman" w:hAnsi="Times New Roman" w:cs="Times New Roman"/>
        </w:rPr>
        <w:t xml:space="preserve"> sebesar 8</w:t>
      </w:r>
      <w:proofErr w:type="gramStart"/>
      <w:r w:rsidRPr="006651B3">
        <w:rPr>
          <w:rFonts w:ascii="Times New Roman" w:hAnsi="Times New Roman" w:cs="Times New Roman"/>
        </w:rPr>
        <w:t>,5</w:t>
      </w:r>
      <w:proofErr w:type="gramEnd"/>
      <w:r w:rsidRPr="006651B3">
        <w:rPr>
          <w:rFonts w:ascii="Times New Roman" w:hAnsi="Times New Roman" w:cs="Times New Roman"/>
        </w:rPr>
        <w:t xml:space="preserve"> persen dari nilai proyek. Adanya penyerahan tersebut, </w:t>
      </w:r>
      <w:proofErr w:type="spellStart"/>
      <w:r w:rsidRPr="006651B3">
        <w:rPr>
          <w:rFonts w:ascii="Times New Roman" w:hAnsi="Times New Roman" w:cs="Times New Roman"/>
        </w:rPr>
        <w:t>Ispan</w:t>
      </w:r>
      <w:proofErr w:type="spellEnd"/>
      <w:r w:rsidRPr="006651B3">
        <w:rPr>
          <w:rFonts w:ascii="Times New Roman" w:hAnsi="Times New Roman" w:cs="Times New Roman"/>
        </w:rPr>
        <w:t xml:space="preserve"> tertangkap tangan di kantornya pada Selasa 12 November 2019. (Ant)</w:t>
      </w:r>
    </w:p>
    <w:p w:rsidR="00E74028" w:rsidRPr="00E74028" w:rsidRDefault="00E74028" w:rsidP="00E74028">
      <w:pPr>
        <w:spacing w:after="0" w:line="360" w:lineRule="auto"/>
        <w:jc w:val="both"/>
        <w:rPr>
          <w:rFonts w:ascii="Times New Roman" w:hAnsi="Times New Roman" w:cs="Times New Roman"/>
          <w:b/>
        </w:rPr>
      </w:pPr>
      <w:r w:rsidRPr="00E74028">
        <w:rPr>
          <w:rFonts w:ascii="Times New Roman" w:hAnsi="Times New Roman" w:cs="Times New Roman"/>
          <w:b/>
        </w:rPr>
        <w:t>Sumber Berita</w:t>
      </w:r>
    </w:p>
    <w:p w:rsidR="00E74028" w:rsidRPr="00E74028" w:rsidRDefault="00E74028" w:rsidP="00E74028">
      <w:pPr>
        <w:pStyle w:val="ListParagraph"/>
        <w:numPr>
          <w:ilvl w:val="0"/>
          <w:numId w:val="1"/>
        </w:numPr>
        <w:spacing w:after="0" w:line="360" w:lineRule="auto"/>
        <w:ind w:left="284"/>
        <w:contextualSpacing w:val="0"/>
        <w:jc w:val="both"/>
        <w:rPr>
          <w:rFonts w:asciiTheme="majorBidi" w:hAnsiTheme="majorBidi" w:cstheme="majorBidi"/>
        </w:rPr>
      </w:pPr>
      <w:hyperlink r:id="rId9" w:history="1">
        <w:r w:rsidRPr="00E74028">
          <w:rPr>
            <w:rStyle w:val="Hyperlink"/>
            <w:rFonts w:asciiTheme="majorBidi" w:hAnsiTheme="majorBidi" w:cstheme="majorBidi"/>
          </w:rPr>
          <w:t>https://insidelombok.id/berita-utama/kejari-mataram-banding-vonis-terdakwa-korupsi-proyek-wisata/</w:t>
        </w:r>
      </w:hyperlink>
      <w:r w:rsidRPr="00E74028">
        <w:rPr>
          <w:rFonts w:asciiTheme="majorBidi" w:hAnsiTheme="majorBidi" w:cstheme="majorBidi"/>
        </w:rPr>
        <w:t xml:space="preserve"> 2/04/2020</w:t>
      </w:r>
    </w:p>
    <w:p w:rsidR="00E74028" w:rsidRPr="00E74028" w:rsidRDefault="00E74028" w:rsidP="00E74028">
      <w:pPr>
        <w:pStyle w:val="ListParagraph"/>
        <w:numPr>
          <w:ilvl w:val="0"/>
          <w:numId w:val="1"/>
        </w:numPr>
        <w:spacing w:after="0" w:line="360" w:lineRule="auto"/>
        <w:ind w:left="284"/>
        <w:contextualSpacing w:val="0"/>
        <w:jc w:val="both"/>
        <w:rPr>
          <w:rFonts w:asciiTheme="majorBidi" w:hAnsiTheme="majorBidi" w:cstheme="majorBidi"/>
          <w:b/>
          <w:u w:val="single"/>
        </w:rPr>
      </w:pPr>
      <w:r w:rsidRPr="00E74028">
        <w:rPr>
          <w:rFonts w:asciiTheme="majorBidi" w:hAnsiTheme="majorBidi" w:cstheme="majorBidi"/>
        </w:rPr>
        <w:t>https://www.antaranews.com/berita/1398802/kejari-mataram-banding-atas-vonis-terdakwa-korupsi-proyek-wisata,/02/04/2020</w:t>
      </w:r>
    </w:p>
    <w:p w:rsidR="00E74028" w:rsidRDefault="00E74028" w:rsidP="007D08E6">
      <w:pPr>
        <w:spacing w:after="0" w:line="360" w:lineRule="auto"/>
        <w:jc w:val="both"/>
        <w:rPr>
          <w:rFonts w:ascii="Times New Roman" w:hAnsi="Times New Roman" w:cs="Times New Roman"/>
          <w:b/>
        </w:rPr>
      </w:pPr>
    </w:p>
    <w:p w:rsidR="004373DC" w:rsidRPr="00E74028" w:rsidRDefault="004373DC" w:rsidP="007D08E6">
      <w:pPr>
        <w:spacing w:after="0" w:line="360" w:lineRule="auto"/>
        <w:jc w:val="both"/>
        <w:rPr>
          <w:rFonts w:ascii="Times New Roman" w:hAnsi="Times New Roman" w:cs="Times New Roman"/>
          <w:b/>
        </w:rPr>
      </w:pPr>
      <w:r w:rsidRPr="00E74028">
        <w:rPr>
          <w:rFonts w:ascii="Times New Roman" w:hAnsi="Times New Roman" w:cs="Times New Roman"/>
          <w:b/>
        </w:rPr>
        <w:t>Catatan</w:t>
      </w:r>
    </w:p>
    <w:p w:rsidR="006D1162" w:rsidRDefault="006651B3" w:rsidP="006D1162">
      <w:pPr>
        <w:spacing w:after="0" w:line="360" w:lineRule="auto"/>
        <w:jc w:val="both"/>
        <w:rPr>
          <w:rFonts w:ascii="Times New Roman" w:hAnsi="Times New Roman" w:cs="Times New Roman"/>
        </w:rPr>
      </w:pPr>
      <w:r>
        <w:rPr>
          <w:rFonts w:ascii="Times New Roman" w:hAnsi="Times New Roman" w:cs="Times New Roman"/>
        </w:rPr>
        <w:t>Banding adalah salah satu upaya hukum yang dilakukan atas suatu putusan hukum yang telah diputuskan pada pengadilan tingkat pertama, upaya hukum banding dapat dilakukan oleh Terdakwa ataupun jaksa penutut umum</w:t>
      </w:r>
      <w:r w:rsidR="003F7C46">
        <w:rPr>
          <w:rFonts w:ascii="Times New Roman" w:hAnsi="Times New Roman" w:cs="Times New Roman"/>
        </w:rPr>
        <w:t>. Dalam kasus diatas jaksa penuntut umumlah yang melakukan banding, dengan argumentasi hukum menyatakan bahwa</w:t>
      </w:r>
      <w:bookmarkStart w:id="0" w:name="_GoBack"/>
      <w:bookmarkEnd w:id="0"/>
      <w:r w:rsidR="003F7C46">
        <w:rPr>
          <w:rFonts w:ascii="Times New Roman" w:hAnsi="Times New Roman" w:cs="Times New Roman"/>
        </w:rPr>
        <w:t xml:space="preserve"> jaksa </w:t>
      </w:r>
      <w:proofErr w:type="spellStart"/>
      <w:r w:rsidR="003F7C46">
        <w:rPr>
          <w:rFonts w:ascii="Times New Roman" w:hAnsi="Times New Roman" w:cs="Times New Roman"/>
        </w:rPr>
        <w:t>penunutut</w:t>
      </w:r>
      <w:proofErr w:type="spellEnd"/>
      <w:r w:rsidR="003F7C46">
        <w:rPr>
          <w:rFonts w:ascii="Times New Roman" w:hAnsi="Times New Roman" w:cs="Times New Roman"/>
        </w:rPr>
        <w:t xml:space="preserve"> umum merasa putusan yang disampaikan oleh majelis hakim yang memimpin pelaksanaan persidangannya dinyatakan tidak mencerminkan rasa keadilan mengingat putusan atas kasus tersebut di vonis dan dikabulkan setengah dari dakwaan yang dikenakan kepada tersangka.</w:t>
      </w:r>
    </w:p>
    <w:p w:rsidR="003F7C46" w:rsidRDefault="003F7C46" w:rsidP="006D1162">
      <w:pPr>
        <w:spacing w:after="0" w:line="360" w:lineRule="auto"/>
        <w:jc w:val="both"/>
        <w:rPr>
          <w:rFonts w:ascii="Times New Roman" w:hAnsi="Times New Roman" w:cs="Times New Roman"/>
          <w:i/>
        </w:rPr>
      </w:pPr>
      <w:r>
        <w:rPr>
          <w:rFonts w:ascii="Times New Roman" w:hAnsi="Times New Roman" w:cs="Times New Roman"/>
        </w:rPr>
        <w:t>Secara normatif ketentuan tentang upaya hukum telah di tuangkan dalam Kitab Undang-undang Hukum Acara Pidana Nomor 8 tahun 1981, menurut KUHAP yang dimaksud dengan upaya hukum adalah:</w:t>
      </w:r>
      <w:r w:rsidRPr="003F7C46">
        <w:t xml:space="preserve"> </w:t>
      </w:r>
      <w:r w:rsidRPr="003F7C46">
        <w:rPr>
          <w:rFonts w:ascii="Times New Roman" w:hAnsi="Times New Roman" w:cs="Times New Roman"/>
          <w:i/>
        </w:rPr>
        <w:t>hak terdakwa atau penuntut umum untuk tidak menerima putusan pengadilan yang berupa perlawanan atau banding atau kasasi atau hak terpidana untuk mengajukan permohonan peninjauan kembali dalam hal serta menurut cara yang diatur dalam KUHAP</w:t>
      </w:r>
      <w:r>
        <w:rPr>
          <w:rFonts w:ascii="Times New Roman" w:hAnsi="Times New Roman" w:cs="Times New Roman"/>
          <w:i/>
        </w:rPr>
        <w:t>. [</w:t>
      </w:r>
      <w:proofErr w:type="spellStart"/>
      <w:proofErr w:type="gramStart"/>
      <w:r>
        <w:rPr>
          <w:rFonts w:ascii="Times New Roman" w:hAnsi="Times New Roman" w:cs="Times New Roman"/>
          <w:i/>
        </w:rPr>
        <w:t>vide:</w:t>
      </w:r>
      <w:proofErr w:type="gramEnd"/>
      <w:r>
        <w:rPr>
          <w:rFonts w:ascii="Times New Roman" w:hAnsi="Times New Roman" w:cs="Times New Roman"/>
          <w:i/>
        </w:rPr>
        <w:t>Pasal</w:t>
      </w:r>
      <w:proofErr w:type="spellEnd"/>
      <w:r>
        <w:rPr>
          <w:rFonts w:ascii="Times New Roman" w:hAnsi="Times New Roman" w:cs="Times New Roman"/>
          <w:i/>
        </w:rPr>
        <w:t xml:space="preserve"> 1 Angka 12 KUHAP]</w:t>
      </w:r>
    </w:p>
    <w:p w:rsidR="003F7C46" w:rsidRPr="003F7C46" w:rsidRDefault="003F7C46" w:rsidP="006D1162">
      <w:pPr>
        <w:spacing w:after="0" w:line="360" w:lineRule="auto"/>
        <w:jc w:val="both"/>
        <w:rPr>
          <w:rFonts w:ascii="Times New Roman" w:hAnsi="Times New Roman" w:cs="Times New Roman"/>
        </w:rPr>
      </w:pPr>
      <w:r w:rsidRPr="003F7C46">
        <w:rPr>
          <w:rFonts w:ascii="Times New Roman" w:hAnsi="Times New Roman" w:cs="Times New Roman"/>
        </w:rPr>
        <w:t xml:space="preserve">Selanjutnya Upaya hukum dibagi dalam dua bentuk, yakni </w:t>
      </w:r>
    </w:p>
    <w:p w:rsidR="003F7C46" w:rsidRPr="003F7C46" w:rsidRDefault="003F7C46" w:rsidP="003F7C46">
      <w:pPr>
        <w:pStyle w:val="ListParagraph"/>
        <w:numPr>
          <w:ilvl w:val="0"/>
          <w:numId w:val="10"/>
        </w:numPr>
        <w:spacing w:after="0" w:line="360" w:lineRule="auto"/>
        <w:ind w:left="426"/>
        <w:jc w:val="both"/>
        <w:rPr>
          <w:rFonts w:ascii="Times New Roman" w:hAnsi="Times New Roman" w:cs="Times New Roman"/>
        </w:rPr>
      </w:pPr>
      <w:r w:rsidRPr="003F7C46">
        <w:rPr>
          <w:rFonts w:ascii="Times New Roman" w:hAnsi="Times New Roman" w:cs="Times New Roman"/>
        </w:rPr>
        <w:t>Upaya Hukum biasa</w:t>
      </w:r>
    </w:p>
    <w:p w:rsidR="003F7C46" w:rsidRPr="003F7C46" w:rsidRDefault="003F7C46" w:rsidP="003F7C46">
      <w:pPr>
        <w:pStyle w:val="ListParagraph"/>
        <w:numPr>
          <w:ilvl w:val="0"/>
          <w:numId w:val="11"/>
        </w:numPr>
        <w:spacing w:after="0" w:line="360" w:lineRule="auto"/>
        <w:ind w:left="851"/>
        <w:jc w:val="both"/>
        <w:rPr>
          <w:rFonts w:ascii="Times New Roman" w:hAnsi="Times New Roman" w:cs="Times New Roman"/>
        </w:rPr>
      </w:pPr>
      <w:r w:rsidRPr="003F7C46">
        <w:rPr>
          <w:rFonts w:ascii="Times New Roman" w:hAnsi="Times New Roman" w:cs="Times New Roman"/>
        </w:rPr>
        <w:t>Banding</w:t>
      </w:r>
    </w:p>
    <w:p w:rsidR="003F7C46" w:rsidRPr="003F7C46" w:rsidRDefault="003F7C46" w:rsidP="003F7C46">
      <w:pPr>
        <w:pStyle w:val="ListParagraph"/>
        <w:numPr>
          <w:ilvl w:val="0"/>
          <w:numId w:val="11"/>
        </w:numPr>
        <w:spacing w:after="0" w:line="360" w:lineRule="auto"/>
        <w:ind w:left="851"/>
        <w:jc w:val="both"/>
        <w:rPr>
          <w:rFonts w:ascii="Times New Roman" w:hAnsi="Times New Roman" w:cs="Times New Roman"/>
        </w:rPr>
      </w:pPr>
      <w:r w:rsidRPr="003F7C46">
        <w:rPr>
          <w:rFonts w:ascii="Times New Roman" w:hAnsi="Times New Roman" w:cs="Times New Roman"/>
        </w:rPr>
        <w:t>Kasasi [vide: BAB XVII KUHAP]</w:t>
      </w:r>
    </w:p>
    <w:p w:rsidR="003F7C46" w:rsidRPr="003F7C46" w:rsidRDefault="003F7C46" w:rsidP="003F7C46">
      <w:pPr>
        <w:pStyle w:val="ListParagraph"/>
        <w:numPr>
          <w:ilvl w:val="0"/>
          <w:numId w:val="10"/>
        </w:numPr>
        <w:spacing w:after="0" w:line="360" w:lineRule="auto"/>
        <w:ind w:left="426"/>
        <w:jc w:val="both"/>
        <w:rPr>
          <w:rFonts w:ascii="Times New Roman" w:hAnsi="Times New Roman" w:cs="Times New Roman"/>
        </w:rPr>
      </w:pPr>
      <w:r w:rsidRPr="003F7C46">
        <w:rPr>
          <w:rFonts w:ascii="Times New Roman" w:hAnsi="Times New Roman" w:cs="Times New Roman"/>
        </w:rPr>
        <w:t>Upaya Hukum Luar Biasa</w:t>
      </w:r>
    </w:p>
    <w:p w:rsidR="003F7C46" w:rsidRPr="003F7C46" w:rsidRDefault="003F7C46" w:rsidP="003F7C46">
      <w:pPr>
        <w:pStyle w:val="ListParagraph"/>
        <w:numPr>
          <w:ilvl w:val="0"/>
          <w:numId w:val="12"/>
        </w:numPr>
        <w:spacing w:after="0" w:line="360" w:lineRule="auto"/>
        <w:ind w:left="851"/>
        <w:jc w:val="both"/>
        <w:rPr>
          <w:rFonts w:ascii="Times New Roman" w:hAnsi="Times New Roman" w:cs="Times New Roman"/>
        </w:rPr>
      </w:pPr>
      <w:r w:rsidRPr="003F7C46">
        <w:rPr>
          <w:rFonts w:ascii="Times New Roman" w:hAnsi="Times New Roman" w:cs="Times New Roman"/>
        </w:rPr>
        <w:t>Kasasi Demi Kepentingan Hukum</w:t>
      </w:r>
    </w:p>
    <w:p w:rsidR="006D1162" w:rsidRPr="003F7C46" w:rsidRDefault="003F7C46" w:rsidP="003F7C46">
      <w:pPr>
        <w:pStyle w:val="ListParagraph"/>
        <w:numPr>
          <w:ilvl w:val="0"/>
          <w:numId w:val="12"/>
        </w:numPr>
        <w:spacing w:after="0" w:line="360" w:lineRule="auto"/>
        <w:ind w:left="851"/>
        <w:jc w:val="both"/>
        <w:rPr>
          <w:rFonts w:ascii="Times New Roman" w:hAnsi="Times New Roman" w:cs="Times New Roman"/>
        </w:rPr>
      </w:pPr>
      <w:r w:rsidRPr="003F7C46">
        <w:rPr>
          <w:rFonts w:ascii="Times New Roman" w:hAnsi="Times New Roman" w:cs="Times New Roman"/>
        </w:rPr>
        <w:t xml:space="preserve">Peninjauan Kembali Putusan Pengadilan yang telah memiliki kekuatan Hukum </w:t>
      </w:r>
      <w:proofErr w:type="spellStart"/>
      <w:r w:rsidRPr="003F7C46">
        <w:rPr>
          <w:rFonts w:ascii="Times New Roman" w:hAnsi="Times New Roman" w:cs="Times New Roman"/>
        </w:rPr>
        <w:t>Teteap</w:t>
      </w:r>
      <w:proofErr w:type="spellEnd"/>
      <w:r w:rsidRPr="003F7C46">
        <w:rPr>
          <w:rFonts w:ascii="Times New Roman" w:hAnsi="Times New Roman" w:cs="Times New Roman"/>
        </w:rPr>
        <w:t xml:space="preserve"> [vide: Bab XVIII KUHAP]</w:t>
      </w:r>
    </w:p>
    <w:p w:rsidR="00DA50F4" w:rsidRPr="00DA50F4" w:rsidRDefault="00DA50F4" w:rsidP="00DA50F4">
      <w:pPr>
        <w:pStyle w:val="ListParagraph"/>
        <w:spacing w:after="0" w:line="360" w:lineRule="auto"/>
        <w:jc w:val="both"/>
        <w:rPr>
          <w:rFonts w:ascii="Times New Roman" w:hAnsi="Times New Roman" w:cs="Times New Roman"/>
        </w:rPr>
      </w:pPr>
    </w:p>
    <w:p w:rsidR="004373DC" w:rsidRPr="00437370" w:rsidRDefault="004373DC" w:rsidP="00E74028">
      <w:pPr>
        <w:pStyle w:val="ListParagraph"/>
        <w:spacing w:after="0" w:line="360" w:lineRule="auto"/>
        <w:ind w:left="284"/>
        <w:contextualSpacing w:val="0"/>
        <w:jc w:val="both"/>
        <w:rPr>
          <w:rFonts w:ascii="Times New Roman" w:hAnsi="Times New Roman" w:cs="Times New Roman"/>
        </w:rPr>
      </w:pPr>
    </w:p>
    <w:p w:rsidR="007D08E6" w:rsidRDefault="007D08E6" w:rsidP="007D08E6">
      <w:pPr>
        <w:spacing w:after="0" w:line="360" w:lineRule="auto"/>
        <w:jc w:val="both"/>
        <w:rPr>
          <w:rStyle w:val="Hyperlink"/>
          <w:rFonts w:ascii="Times New Roman" w:hAnsi="Times New Roman" w:cs="Times New Roman"/>
          <w:color w:val="000000" w:themeColor="text1"/>
          <w:u w:val="none"/>
        </w:rPr>
      </w:pPr>
    </w:p>
    <w:p w:rsidR="000E2493" w:rsidRDefault="007D08E6" w:rsidP="007D08E6">
      <w:pPr>
        <w:spacing w:after="0" w:line="360" w:lineRule="auto"/>
        <w:jc w:val="both"/>
        <w:rPr>
          <w:rStyle w:val="Hyperlink"/>
          <w:rFonts w:ascii="Times New Roman" w:hAnsi="Times New Roman" w:cs="Times New Roman"/>
          <w:b/>
          <w:color w:val="000000" w:themeColor="text1"/>
          <w:u w:val="none"/>
        </w:rPr>
      </w:pPr>
      <w:r w:rsidRPr="007D08E6">
        <w:rPr>
          <w:rStyle w:val="Hyperlink"/>
          <w:rFonts w:ascii="Times New Roman" w:hAnsi="Times New Roman" w:cs="Times New Roman"/>
          <w:b/>
          <w:color w:val="000000" w:themeColor="text1"/>
          <w:u w:val="none"/>
        </w:rPr>
        <w:t>Catatan Akhir/Endnote</w:t>
      </w:r>
    </w:p>
    <w:sectPr w:rsidR="000E2493" w:rsidSect="000E2493">
      <w:footerReference w:type="default" r:id="rId10"/>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D2" w:rsidRDefault="00406BD2" w:rsidP="004373DC">
      <w:pPr>
        <w:spacing w:after="0" w:line="240" w:lineRule="auto"/>
      </w:pPr>
      <w:r>
        <w:separator/>
      </w:r>
    </w:p>
  </w:endnote>
  <w:endnote w:type="continuationSeparator" w:id="0">
    <w:p w:rsidR="00406BD2" w:rsidRDefault="00406BD2" w:rsidP="004373DC">
      <w:pPr>
        <w:spacing w:after="0" w:line="240" w:lineRule="auto"/>
      </w:pPr>
      <w:r>
        <w:continuationSeparator/>
      </w:r>
    </w:p>
  </w:endnote>
  <w:endnote w:id="1">
    <w:p w:rsidR="006C456B" w:rsidRDefault="006C456B" w:rsidP="006C456B">
      <w:pPr>
        <w:pStyle w:val="EndnoteText"/>
        <w:jc w:val="both"/>
      </w:pPr>
      <w:r>
        <w:rPr>
          <w:rStyle w:val="EndnoteReference"/>
        </w:rPr>
        <w:endnoteRef/>
      </w:r>
      <w:r>
        <w:t xml:space="preserve"> </w:t>
      </w:r>
      <w:r w:rsidRPr="006C456B">
        <w:t>tuntutan/</w:t>
      </w:r>
      <w:proofErr w:type="spellStart"/>
      <w:r w:rsidRPr="006C456B">
        <w:t>tun·tut·an</w:t>
      </w:r>
      <w:proofErr w:type="spellEnd"/>
      <w:r w:rsidRPr="006C456B">
        <w:t xml:space="preserve">/ n 1 hasil menuntut; 2 sesuatu yang dituntut (seperti permintaan keras); gugatan; dakwaan;~ hukuman beratnya hukuman yang diajukan oleh jaksa; ~ </w:t>
      </w:r>
      <w:proofErr w:type="spellStart"/>
      <w:r w:rsidRPr="006C456B">
        <w:t>teriorial</w:t>
      </w:r>
      <w:proofErr w:type="spellEnd"/>
      <w:r w:rsidRPr="006C456B">
        <w:t xml:space="preserve"> tuntutan oleh negara atas sebagian wilayah suatu negara lain</w:t>
      </w:r>
      <w:r>
        <w:t xml:space="preserve"> [vide:</w:t>
      </w:r>
      <w:r w:rsidRPr="006C456B">
        <w:t xml:space="preserve"> https://kbbi.web.id/tuntut</w:t>
      </w:r>
      <w:r>
        <w:t>]</w:t>
      </w:r>
    </w:p>
  </w:endnote>
  <w:endnote w:id="2">
    <w:p w:rsidR="006C456B" w:rsidRDefault="006C456B" w:rsidP="006C456B">
      <w:pPr>
        <w:pStyle w:val="EndnoteText"/>
        <w:jc w:val="both"/>
      </w:pPr>
      <w:r>
        <w:rPr>
          <w:rStyle w:val="EndnoteReference"/>
        </w:rPr>
        <w:endnoteRef/>
      </w:r>
      <w:r>
        <w:t xml:space="preserve"> </w:t>
      </w:r>
      <w:r w:rsidRPr="006C456B">
        <w:rPr>
          <w:b/>
        </w:rPr>
        <w:t>barang1</w:t>
      </w:r>
      <w:r w:rsidRPr="006C456B">
        <w:t>/</w:t>
      </w:r>
      <w:proofErr w:type="spellStart"/>
      <w:r w:rsidRPr="006C456B">
        <w:t>ba·rang</w:t>
      </w:r>
      <w:proofErr w:type="spellEnd"/>
      <w:r w:rsidRPr="006C456B">
        <w:t xml:space="preserve">/ n 1 benda umum (segala sesuatu yang berwujud atau berjasad): -- cair; -- keras; 2 semua perkakas rumah, perhiasan, dan sebagainya: -- nya untuk membayar utang; 3 bagasi; muatan (kereta api dan sebagainya); 4 muatan selain manusia atau ternak: truk yang mengangkut -- terguling di tikungan </w:t>
      </w:r>
      <w:proofErr w:type="spellStart"/>
      <w:r w:rsidRPr="006C456B">
        <w:t>itu;ada</w:t>
      </w:r>
      <w:proofErr w:type="spellEnd"/>
      <w:r w:rsidRPr="006C456B">
        <w:t xml:space="preserve"> uang ada -- , </w:t>
      </w:r>
      <w:proofErr w:type="spellStart"/>
      <w:r w:rsidRPr="006C456B">
        <w:t>pb</w:t>
      </w:r>
      <w:proofErr w:type="spellEnd"/>
      <w:r w:rsidRPr="006C456B">
        <w:t xml:space="preserve"> jika sanggup membayar banyak akan mendapat barang yang lebih baik</w:t>
      </w:r>
      <w:r>
        <w:t>;</w:t>
      </w:r>
      <w:r w:rsidRPr="006C456B">
        <w:rPr>
          <w:b/>
        </w:rPr>
        <w:t xml:space="preserve"> bukti</w:t>
      </w:r>
      <w:r w:rsidRPr="006C456B">
        <w:t xml:space="preserve"> Huk benda yang digunakan untuk meyakinkan hakim akan kesalahan terdakwa terhadap perkara pidana yang dituduhkan kepadanya; barang yang dapat dijadikan sebagai bukti dalam suatu perkara</w:t>
      </w:r>
      <w:r>
        <w:t>, [vide:</w:t>
      </w:r>
      <w:r w:rsidRPr="006C456B">
        <w:t xml:space="preserve"> https://kbbi.web.id/barang</w:t>
      </w:r>
      <w:r>
        <w:t>]</w:t>
      </w:r>
    </w:p>
  </w:endnote>
  <w:endnote w:id="3">
    <w:p w:rsidR="000C3750" w:rsidRDefault="000C3750">
      <w:pPr>
        <w:pStyle w:val="EndnoteText"/>
      </w:pPr>
      <w:r>
        <w:rPr>
          <w:rStyle w:val="EndnoteReference"/>
        </w:rPr>
        <w:endnoteRef/>
      </w:r>
      <w:r>
        <w:t xml:space="preserve"> Fee dapat dianalogikan sebagai </w:t>
      </w:r>
      <w:r w:rsidRPr="000C3750">
        <w:t>bonus/</w:t>
      </w:r>
      <w:proofErr w:type="spellStart"/>
      <w:r w:rsidRPr="000C3750">
        <w:t>bo·nus</w:t>
      </w:r>
      <w:proofErr w:type="spellEnd"/>
      <w:r w:rsidRPr="000C3750">
        <w:t>/ n 1 upah tambahan di luar gaji atau upah sebagai hadiah atau perangsang; gaji, upah ekstra yang dibayarkan kepada karyawan; gratifikasi; insentif; 2 halaman atau artikel tambahan (pada majalah, koran)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28" w:rsidRDefault="00E74028" w:rsidP="00E7402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E74028">
      <w:rPr>
        <w:rFonts w:eastAsiaTheme="minorEastAsia"/>
        <w:noProof/>
      </w:rPr>
      <w:t>2</w:t>
    </w:r>
    <w:r>
      <w:rPr>
        <w:rFonts w:asciiTheme="majorHAnsi" w:eastAsiaTheme="majorEastAsia" w:hAnsiTheme="majorHAnsi" w:cstheme="majorBidi"/>
        <w:noProof/>
      </w:rPr>
      <w:fldChar w:fldCharType="end"/>
    </w:r>
  </w:p>
  <w:p w:rsidR="00E74028" w:rsidRDefault="00E74028" w:rsidP="00E74028">
    <w:pPr>
      <w:pStyle w:val="Footer"/>
    </w:pPr>
  </w:p>
  <w:p w:rsidR="00E74028" w:rsidRDefault="00E74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D2" w:rsidRDefault="00406BD2" w:rsidP="004373DC">
      <w:pPr>
        <w:spacing w:after="0" w:line="240" w:lineRule="auto"/>
      </w:pPr>
      <w:r>
        <w:separator/>
      </w:r>
    </w:p>
  </w:footnote>
  <w:footnote w:type="continuationSeparator" w:id="0">
    <w:p w:rsidR="00406BD2" w:rsidRDefault="00406BD2" w:rsidP="00437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1E4030"/>
    <w:multiLevelType w:val="hybridMultilevel"/>
    <w:tmpl w:val="59125DC6"/>
    <w:lvl w:ilvl="0" w:tplc="D9507F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8"/>
  </w:num>
  <w:num w:numId="4">
    <w:abstractNumId w:val="2"/>
  </w:num>
  <w:num w:numId="5">
    <w:abstractNumId w:val="4"/>
  </w:num>
  <w:num w:numId="6">
    <w:abstractNumId w:val="6"/>
  </w:num>
  <w:num w:numId="7">
    <w:abstractNumId w:val="3"/>
  </w:num>
  <w:num w:numId="8">
    <w:abstractNumId w:val="0"/>
  </w:num>
  <w:num w:numId="9">
    <w:abstractNumId w:val="11"/>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C2B27"/>
    <w:rsid w:val="000C3750"/>
    <w:rsid w:val="000E2493"/>
    <w:rsid w:val="000F6809"/>
    <w:rsid w:val="00104DC3"/>
    <w:rsid w:val="001B2FA8"/>
    <w:rsid w:val="002220E1"/>
    <w:rsid w:val="0025618B"/>
    <w:rsid w:val="00296B49"/>
    <w:rsid w:val="00337778"/>
    <w:rsid w:val="00351664"/>
    <w:rsid w:val="003A2E33"/>
    <w:rsid w:val="003D0B4E"/>
    <w:rsid w:val="003F7C46"/>
    <w:rsid w:val="0040569B"/>
    <w:rsid w:val="00406BD2"/>
    <w:rsid w:val="00424A35"/>
    <w:rsid w:val="00437370"/>
    <w:rsid w:val="004373DC"/>
    <w:rsid w:val="004448CC"/>
    <w:rsid w:val="00480515"/>
    <w:rsid w:val="00525E84"/>
    <w:rsid w:val="00537CDB"/>
    <w:rsid w:val="005D76E8"/>
    <w:rsid w:val="006069C9"/>
    <w:rsid w:val="00624734"/>
    <w:rsid w:val="006651B3"/>
    <w:rsid w:val="006C456B"/>
    <w:rsid w:val="006D1162"/>
    <w:rsid w:val="006F10F0"/>
    <w:rsid w:val="007B7895"/>
    <w:rsid w:val="007C30C1"/>
    <w:rsid w:val="007D08E6"/>
    <w:rsid w:val="0083286E"/>
    <w:rsid w:val="008B551E"/>
    <w:rsid w:val="008C7A4D"/>
    <w:rsid w:val="008E448D"/>
    <w:rsid w:val="00984646"/>
    <w:rsid w:val="00997D83"/>
    <w:rsid w:val="00A01011"/>
    <w:rsid w:val="00A01980"/>
    <w:rsid w:val="00A45C09"/>
    <w:rsid w:val="00B16773"/>
    <w:rsid w:val="00B3269D"/>
    <w:rsid w:val="00B64A3C"/>
    <w:rsid w:val="00BF7F50"/>
    <w:rsid w:val="00CB0F2F"/>
    <w:rsid w:val="00CD7090"/>
    <w:rsid w:val="00CD73E0"/>
    <w:rsid w:val="00D14C75"/>
    <w:rsid w:val="00D64C76"/>
    <w:rsid w:val="00D869E4"/>
    <w:rsid w:val="00DA2669"/>
    <w:rsid w:val="00DA50F4"/>
    <w:rsid w:val="00DB3B90"/>
    <w:rsid w:val="00DC5833"/>
    <w:rsid w:val="00DD10FC"/>
    <w:rsid w:val="00DF175B"/>
    <w:rsid w:val="00E1107D"/>
    <w:rsid w:val="00E37239"/>
    <w:rsid w:val="00E52A8A"/>
    <w:rsid w:val="00E74028"/>
    <w:rsid w:val="00FB22EC"/>
    <w:rsid w:val="00FC0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 w:type="paragraph" w:styleId="Header">
    <w:name w:val="header"/>
    <w:basedOn w:val="Normal"/>
    <w:link w:val="HeaderChar"/>
    <w:uiPriority w:val="99"/>
    <w:unhideWhenUsed/>
    <w:rsid w:val="00E7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028"/>
  </w:style>
  <w:style w:type="paragraph" w:styleId="Footer">
    <w:name w:val="footer"/>
    <w:basedOn w:val="Normal"/>
    <w:link w:val="FooterChar"/>
    <w:uiPriority w:val="99"/>
    <w:unhideWhenUsed/>
    <w:rsid w:val="00E7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idelombok.id/berita-utama/kejari-mataram-banding-vonis-terdakwa-korupsi-proyek-wis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FE4D-E8F7-4CFA-A330-CCF02783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andre setyarso</cp:lastModifiedBy>
  <cp:revision>7</cp:revision>
  <dcterms:created xsi:type="dcterms:W3CDTF">2020-04-03T02:26:00Z</dcterms:created>
  <dcterms:modified xsi:type="dcterms:W3CDTF">2020-05-04T13:41:00Z</dcterms:modified>
</cp:coreProperties>
</file>