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DD" w:rsidRPr="00E87F73" w:rsidRDefault="00F11A9C" w:rsidP="004671E2">
      <w:pPr>
        <w:spacing w:after="0" w:line="360" w:lineRule="auto"/>
        <w:jc w:val="center"/>
        <w:rPr>
          <w:rFonts w:ascii="Times New Roman" w:hAnsi="Times New Roman" w:cs="Times New Roman"/>
          <w:b/>
          <w:bCs/>
          <w:sz w:val="28"/>
          <w:szCs w:val="28"/>
          <w:lang w:val="id-ID"/>
        </w:rPr>
      </w:pPr>
      <w:r w:rsidRPr="00E87F73">
        <w:rPr>
          <w:rFonts w:ascii="Times New Roman" w:hAnsi="Times New Roman" w:cs="Times New Roman"/>
          <w:b/>
          <w:bCs/>
          <w:sz w:val="28"/>
          <w:szCs w:val="28"/>
          <w:lang w:val="id-ID"/>
        </w:rPr>
        <w:t>TANGANI CORONO, DESA DIPERBOLEHKAN GUNAKAN DD</w:t>
      </w:r>
    </w:p>
    <w:p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val="id-ID" w:eastAsia="id-ID"/>
        </w:rPr>
        <w:drawing>
          <wp:inline distT="0" distB="0" distL="0" distR="0">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7F73" w:rsidRDefault="00E87F73" w:rsidP="00E87F73">
      <w:pPr>
        <w:autoSpaceDE w:val="0"/>
        <w:autoSpaceDN w:val="0"/>
        <w:adjustRightInd w:val="0"/>
        <w:spacing w:after="200" w:line="240" w:lineRule="auto"/>
        <w:jc w:val="both"/>
        <w:rPr>
          <w:rFonts w:ascii="Times New Roman" w:hAnsi="Times New Roman" w:cs="Times New Roman"/>
          <w:sz w:val="24"/>
          <w:szCs w:val="24"/>
          <w:lang w:val="id" w:eastAsia="en-US"/>
        </w:rPr>
      </w:pPr>
      <w:r w:rsidRPr="00E87F73">
        <w:rPr>
          <w:rFonts w:ascii="Times New Roman" w:hAnsi="Times New Roman" w:cs="Times New Roman"/>
          <w:b/>
          <w:sz w:val="24"/>
          <w:szCs w:val="24"/>
          <w:lang w:val="id" w:eastAsia="en-US"/>
        </w:rPr>
        <w:t>Giri menang (Suara NTB)</w:t>
      </w:r>
      <w:r>
        <w:rPr>
          <w:rFonts w:ascii="Times New Roman" w:hAnsi="Times New Roman" w:cs="Times New Roman"/>
          <w:sz w:val="24"/>
          <w:szCs w:val="24"/>
          <w:lang w:val="id" w:eastAsia="en-US"/>
        </w:rPr>
        <w:t xml:space="preserve"> – Pemerintah desa dibolehkan menggunakan dana desa (DD) untuk pencegahan dan penanggulangan virus Corona yang kini mewabah di Indonesia. DD ini bisa diarahkan untuk melakukan sosialisasi, Pengadaan alat deteksi suhu tubuh dan hand sanitizer hingga disinpektan. Pihak desa didorong merevisi APBDes terkait SE Kemendagri agar desa menganggarkan untuk penanganan virus Corona.</w:t>
      </w:r>
    </w:p>
    <w:p w:rsidR="00E87F73" w:rsidRDefault="00E87F73" w:rsidP="00E87F73">
      <w:pPr>
        <w:autoSpaceDE w:val="0"/>
        <w:autoSpaceDN w:val="0"/>
        <w:adjustRightInd w:val="0"/>
        <w:spacing w:after="200" w:line="240"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Camat Hermansyah menerangkan, pihaknya sudah menindak lanjuti edaran Bupati terkait pencegahan virus Corona dengan melakukan langkah-langkah koordinasi dengan Forkopimcam, kades, TNI dan polri. Pihaknya sudah meminta semua desa membuat himbauan tentang pencegahan Corona melalui surat edaran dan spanduk kepada dusun hingga Masjid dan ponpes. Untuk pelaksanaan pencegahan Corona seperti bahan cuci tangan, hand sanitizer dan penyemprotan desa bisa menggunakan dana desa (DD).</w:t>
      </w:r>
    </w:p>
    <w:p w:rsidR="00E87F73" w:rsidRDefault="00E87F73" w:rsidP="00E87F73">
      <w:pPr>
        <w:autoSpaceDE w:val="0"/>
        <w:autoSpaceDN w:val="0"/>
        <w:adjustRightInd w:val="0"/>
        <w:spacing w:after="200" w:line="240"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“Sejauh ini ada desa yang berinisiatif untuk melakukan disimpektan sendiri. Kami mendorong untuk melakukan revisi di APBDes terkait SE Wamendagri agar setiap desa menganggarkan untuk pencegahan Corona,”jelas Hermansyah. Pihaknya sudah mengumpulkan semua kades bersama TNI-Polri. Sementara itu Sekdis Pemberdayaan Masyarakat dan Desa Heri Ramadhan mengatakan pihaknya sudah menindaklanjuti pencegahan Corona hingga ke desa.</w:t>
      </w:r>
    </w:p>
    <w:p w:rsidR="00E87F73" w:rsidRDefault="00E87F73" w:rsidP="00E87F73">
      <w:pPr>
        <w:autoSpaceDE w:val="0"/>
        <w:autoSpaceDN w:val="0"/>
        <w:adjustRightInd w:val="0"/>
        <w:spacing w:after="200" w:line="240"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Beberapa yang ditekankan ke desa, seperti waktu kerja, pembatasan jenis pelayanan yang dilakukan desa. “Juga terkait dengan penggunaan APBDes (DD) untuk kegiatan siaga darurat bencana (termasuk pencegahan Corona),”jelas dia. Mengacu Permendes nomor 11 tahun 2019 bahwa intinya dibolehkan. Akan tetapi sesuai mekanisme aturan yang berlaku. Misalnya, mereview APBDes tentang RKPDes dengan memasukkan kegiatan tersebut dan mereview APBDes. Tentunya pengalokasian anggaran DD skala terbatas dengan tetap mengutamakan program kegiatan yang lain. Pihaknya pun sudah merincikan pembelian bahan-bahan yang diperlukan seperti hand sanitizer, masker, bahan disinpektan dan sosialisasi Mobile.</w:t>
      </w:r>
    </w:p>
    <w:p w:rsidR="00437FDD" w:rsidRDefault="00E87F73" w:rsidP="00E87F73">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Ia menambahkan, SK tentang siaga bencana Corona juga menjadi dasar untuk melakukan pengalokasian APBDes untuk pencegahan Corona tersebut. (Her)</w:t>
      </w:r>
      <w:r w:rsidR="004671E2">
        <w:rPr>
          <w:rFonts w:ascii="Times New Roman" w:hAnsi="Times New Roman" w:cs="Times New Roman"/>
          <w:sz w:val="24"/>
          <w:szCs w:val="24"/>
          <w:lang w:val="id-ID"/>
        </w:rPr>
        <w:t xml:space="preserve"> </w:t>
      </w:r>
    </w:p>
    <w:p w:rsidR="004671E2" w:rsidRDefault="004671E2" w:rsidP="004671E2">
      <w:pPr>
        <w:spacing w:after="0" w:line="360" w:lineRule="auto"/>
        <w:jc w:val="both"/>
        <w:rPr>
          <w:rFonts w:ascii="Times New Roman" w:hAnsi="Times New Roman" w:cs="Times New Roman"/>
          <w:sz w:val="24"/>
          <w:szCs w:val="24"/>
          <w:lang w:val="id-ID"/>
        </w:rPr>
      </w:pPr>
    </w:p>
    <w:p w:rsidR="00E87F73" w:rsidRDefault="00E87F73" w:rsidP="004671E2">
      <w:pPr>
        <w:spacing w:after="0" w:line="360" w:lineRule="auto"/>
        <w:jc w:val="both"/>
        <w:rPr>
          <w:rFonts w:ascii="Times New Roman" w:hAnsi="Times New Roman" w:cs="Times New Roman"/>
          <w:b/>
          <w:sz w:val="24"/>
          <w:szCs w:val="24"/>
          <w:lang w:val="id-ID"/>
        </w:rPr>
      </w:pPr>
      <w:bookmarkStart w:id="0" w:name="_GoBack"/>
      <w:bookmarkEnd w:id="0"/>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lastRenderedPageBreak/>
        <w:t>Sumber Berita</w:t>
      </w:r>
      <w:r>
        <w:rPr>
          <w:rFonts w:ascii="Times New Roman" w:hAnsi="Times New Roman" w:cs="Times New Roman"/>
          <w:sz w:val="24"/>
          <w:szCs w:val="24"/>
          <w:lang w:val="id-ID"/>
        </w:rPr>
        <w:t>:</w:t>
      </w:r>
    </w:p>
    <w:p w:rsidR="004671E2" w:rsidRPr="008E7008" w:rsidRDefault="004671E2" w:rsidP="00E87F73">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Suara NTB, </w:t>
      </w:r>
      <w:r w:rsidR="00E87F73">
        <w:rPr>
          <w:rFonts w:ascii="Times New Roman" w:hAnsi="Times New Roman" w:cs="Times New Roman"/>
          <w:bCs/>
          <w:i/>
          <w:sz w:val="24"/>
          <w:szCs w:val="24"/>
          <w:lang w:val="id-ID"/>
        </w:rPr>
        <w:t>Tangani Corono, Desa Diperbolehkan Gunakan DD</w:t>
      </w:r>
      <w:r w:rsidR="00E87F73">
        <w:rPr>
          <w:rFonts w:ascii="Times New Roman" w:hAnsi="Times New Roman" w:cs="Times New Roman"/>
          <w:bCs/>
          <w:sz w:val="24"/>
          <w:szCs w:val="24"/>
          <w:lang w:val="id-ID"/>
        </w:rPr>
        <w:t>, Sabtu</w:t>
      </w:r>
      <w:r w:rsidR="008E7008">
        <w:rPr>
          <w:rFonts w:ascii="Times New Roman" w:hAnsi="Times New Roman" w:cs="Times New Roman"/>
          <w:bCs/>
          <w:sz w:val="24"/>
          <w:szCs w:val="24"/>
          <w:lang w:val="id-ID"/>
        </w:rPr>
        <w:t>, 2</w:t>
      </w:r>
      <w:r w:rsidR="00E87F73">
        <w:rPr>
          <w:rFonts w:ascii="Times New Roman" w:hAnsi="Times New Roman" w:cs="Times New Roman"/>
          <w:bCs/>
          <w:sz w:val="24"/>
          <w:szCs w:val="24"/>
          <w:lang w:val="id-ID"/>
        </w:rPr>
        <w:t>1</w:t>
      </w:r>
      <w:r w:rsidR="008E7008">
        <w:rPr>
          <w:rFonts w:ascii="Times New Roman" w:hAnsi="Times New Roman" w:cs="Times New Roman"/>
          <w:bCs/>
          <w:sz w:val="24"/>
          <w:szCs w:val="24"/>
          <w:lang w:val="id-ID"/>
        </w:rPr>
        <w:t xml:space="preserve"> Maret 2020.</w:t>
      </w:r>
    </w:p>
    <w:p w:rsidR="008E7008" w:rsidRPr="00E87F73" w:rsidRDefault="00E87F73" w:rsidP="00E87F73">
      <w:pPr>
        <w:pStyle w:val="ListParagraph"/>
        <w:numPr>
          <w:ilvl w:val="0"/>
          <w:numId w:val="1"/>
        </w:numPr>
        <w:spacing w:after="0" w:line="240" w:lineRule="auto"/>
        <w:ind w:left="284" w:hanging="284"/>
        <w:jc w:val="both"/>
        <w:rPr>
          <w:rFonts w:ascii="Times New Roman" w:hAnsi="Times New Roman" w:cs="Times New Roman"/>
          <w:sz w:val="24"/>
          <w:szCs w:val="24"/>
        </w:rPr>
      </w:pPr>
      <w:r w:rsidRPr="00E87F73">
        <w:rPr>
          <w:rStyle w:val="Hyperlink"/>
          <w:rFonts w:ascii="Times New Roman" w:hAnsi="Times New Roman" w:cs="Times New Roman"/>
          <w:sz w:val="24"/>
          <w:szCs w:val="24"/>
          <w:lang w:val="id-ID"/>
        </w:rPr>
        <w:t>https://memontum.com/110761-pemdes-dibolehkan-gunakan-dd-add-untuk-penanganan-covid-19</w:t>
      </w:r>
      <w:r w:rsidR="008E7008">
        <w:rPr>
          <w:rFonts w:ascii="Times New Roman" w:hAnsi="Times New Roman" w:cs="Times New Roman"/>
          <w:sz w:val="24"/>
          <w:szCs w:val="24"/>
          <w:lang w:val="id-ID"/>
        </w:rPr>
        <w:t>.</w:t>
      </w:r>
    </w:p>
    <w:p w:rsidR="00E87F73" w:rsidRPr="008E7008" w:rsidRDefault="00E87F73" w:rsidP="00E87F73">
      <w:pPr>
        <w:pStyle w:val="ListParagraph"/>
        <w:numPr>
          <w:ilvl w:val="0"/>
          <w:numId w:val="1"/>
        </w:numPr>
        <w:spacing w:after="0" w:line="240" w:lineRule="auto"/>
        <w:ind w:left="284" w:hanging="284"/>
        <w:jc w:val="both"/>
        <w:rPr>
          <w:rFonts w:ascii="Times New Roman" w:hAnsi="Times New Roman" w:cs="Times New Roman"/>
          <w:sz w:val="24"/>
          <w:szCs w:val="24"/>
        </w:rPr>
      </w:pPr>
      <w:r w:rsidRPr="00E87F73">
        <w:rPr>
          <w:rFonts w:ascii="Times New Roman" w:hAnsi="Times New Roman" w:cs="Times New Roman"/>
          <w:sz w:val="24"/>
          <w:szCs w:val="24"/>
          <w:lang w:val="id-ID"/>
        </w:rPr>
        <w:t>https</w:t>
      </w:r>
      <w:r w:rsidRPr="00E87F73">
        <w:rPr>
          <w:rFonts w:ascii="Times New Roman" w:hAnsi="Times New Roman" w:cs="Times New Roman"/>
          <w:sz w:val="24"/>
          <w:szCs w:val="24"/>
        </w:rPr>
        <w:t>://www.suarantb.com/lombok.barat/2020/291720/Tangani.Corona,Desa.Diperbolehkan.Gunakan.DD/</w:t>
      </w: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E7008"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205/PMK.07/2019 tentang Pengelolaan Dana Desa:</w:t>
      </w:r>
    </w:p>
    <w:p w:rsidR="008E7008" w:rsidRDefault="00027D2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317464" w:rsidRDefault="007607B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dan paling lambat minggu ke empat bulan Agustus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Juli sebesar 20% (dua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60% (enam puluh persen); dan</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Juli sebesar 40% (empat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berupa:</w:t>
      </w:r>
    </w:p>
    <w:p w:rsidR="00012EB1" w:rsidRDefault="00CF1B05" w:rsidP="00E87F73">
      <w:pPr>
        <w:pStyle w:val="ListParagraph"/>
        <w:numPr>
          <w:ilvl w:val="0"/>
          <w:numId w:val="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Laporan realisasi penyerapan dan capaian keluaran DD tahun anggaran sebelumnya; dan</w:t>
      </w:r>
    </w:p>
    <w:p w:rsidR="00CF1B05" w:rsidRDefault="00CF1B05" w:rsidP="00E87F73">
      <w:pPr>
        <w:pStyle w:val="ListParagraph"/>
        <w:numPr>
          <w:ilvl w:val="0"/>
          <w:numId w:val="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tahap I menunjukkan rata-rata realisasi penyerapan paling sedikit sebesar 50% (lima puluh persen) dan rata-rata capaian keluaran menunjukkan paling sedikit sebesar 35% (tiga puluh lima persen).</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rata-rata realisasi penyerapan paling sedikit sebesar 90% (sembilan puluh persen) dan rata-rata capaian keluaran menunjukkan paling sedikit sebesar 75% (tujuh puluh lima persen); dan</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konvergensi pencegahan stunting tingkat Desa tahun anggaran sebelumnya.</w:t>
      </w:r>
    </w:p>
    <w:p w:rsidR="00012EB1"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Pr="00A56878" w:rsidRDefault="00A56878"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317464" w:rsidRDefault="00317464" w:rsidP="00E87F73">
      <w:pPr>
        <w:pStyle w:val="ListParagraph"/>
        <w:spacing w:after="0" w:line="240" w:lineRule="auto"/>
        <w:ind w:left="284"/>
        <w:jc w:val="both"/>
        <w:rPr>
          <w:rFonts w:ascii="Times New Roman" w:hAnsi="Times New Roman" w:cs="Times New Roman"/>
          <w:sz w:val="24"/>
          <w:szCs w:val="24"/>
          <w:lang w:val="id-ID"/>
        </w:rPr>
      </w:pPr>
    </w:p>
    <w:p w:rsidR="00E87F73" w:rsidRDefault="00E87F73"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11 Tahun 2019 tentang Prioritas </w:t>
      </w:r>
      <w:r w:rsidR="00067A57">
        <w:rPr>
          <w:rFonts w:ascii="Times New Roman" w:hAnsi="Times New Roman" w:cs="Times New Roman"/>
          <w:sz w:val="24"/>
          <w:szCs w:val="24"/>
          <w:lang w:val="id-ID"/>
        </w:rPr>
        <w:t>Penggunaan Dana Desa Tahun 2020, pada Lampiran II menjelaskan:</w:t>
      </w:r>
    </w:p>
    <w:p w:rsidR="00067A57" w:rsidRDefault="00067A57" w:rsidP="00E87F73">
      <w:pPr>
        <w:pStyle w:val="ListParagraph"/>
        <w:spacing w:after="0" w:line="240" w:lineRule="auto"/>
        <w:ind w:left="284"/>
        <w:jc w:val="both"/>
        <w:rPr>
          <w:rFonts w:ascii="Times New Roman" w:hAnsi="Times New Roman" w:cs="Times New Roman"/>
          <w:sz w:val="24"/>
          <w:szCs w:val="24"/>
          <w:lang w:val="id-ID"/>
        </w:rPr>
      </w:pPr>
    </w:p>
    <w:p w:rsidR="00E87F73" w:rsidRDefault="00067A57"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eastAsia="en-US"/>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87F73"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Desa yang akan menggunakan Dana Desa untuk membiayai Kegiatan Tanggap Darurat, melakukan perubahan RKP Desa Tahun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dimulai dengan melakukan perhitungan kebutuhan kebencanaan dari Dana Desa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Refokusing kegiatan Desa dibahas dan disepakati dalam musyawarah Desa</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eastAsia="en-US"/>
        </w:rPr>
        <w:t xml:space="preserve"> dan</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lastRenderedPageBreak/>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eastAsia="en-US"/>
        </w:rPr>
        <w:t>.</w:t>
      </w:r>
    </w:p>
    <w:p w:rsidR="00067A57" w:rsidRDefault="00067A57" w:rsidP="00067A57">
      <w:pPr>
        <w:pStyle w:val="ListParagraph"/>
        <w:spacing w:after="0" w:line="240" w:lineRule="auto"/>
        <w:ind w:left="1004"/>
        <w:jc w:val="both"/>
        <w:rPr>
          <w:rFonts w:ascii="Times New Roman" w:hAnsi="Times New Roman" w:cs="Times New Roman"/>
          <w:sz w:val="24"/>
          <w:szCs w:val="24"/>
          <w:lang w:val="id-ID"/>
        </w:rPr>
      </w:pPr>
    </w:p>
    <w:p w:rsidR="00067A57"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dan BPD melakukan perubahan APBDesa Tahun 2020 dengan berpedoman pada Peraturan Desa tentang RKP Desa 2020 Perubahan;</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mengajukan rancangan perubahan TPBDesa tahun 2020 untuk direview oleh Bupati/Wali Kota sesuai peraturan perundang-undangan tentang keuangan Desa; dan</w:t>
      </w:r>
    </w:p>
    <w:p w:rsidR="00067A57" w:rsidRPr="008E7008"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eastAsia="en-US"/>
        </w:rPr>
        <w:t>.</w:t>
      </w:r>
    </w:p>
    <w:p w:rsidR="00437FDD" w:rsidRDefault="00437FDD" w:rsidP="00E87F73">
      <w:pPr>
        <w:spacing w:after="0" w:line="240" w:lineRule="auto"/>
        <w:jc w:val="both"/>
        <w:rPr>
          <w:rFonts w:ascii="Times New Roman" w:hAnsi="Times New Roman" w:cs="Times New Roman"/>
          <w:sz w:val="24"/>
          <w:szCs w:val="24"/>
        </w:rPr>
      </w:pPr>
    </w:p>
    <w:sectPr w:rsidR="00437FDD">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10" w:rsidRDefault="00B65D10" w:rsidP="00F11A9C">
      <w:pPr>
        <w:spacing w:after="0" w:line="240" w:lineRule="auto"/>
      </w:pPr>
      <w:r>
        <w:separator/>
      </w:r>
    </w:p>
  </w:endnote>
  <w:endnote w:type="continuationSeparator" w:id="0">
    <w:p w:rsidR="00B65D10" w:rsidRDefault="00B65D10" w:rsidP="00F1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9C" w:rsidRDefault="00F11A9C" w:rsidP="00F11A9C">
    <w:pPr>
      <w:pStyle w:val="Footer"/>
      <w:pBdr>
        <w:top w:val="thinThickSmallGap" w:sz="24" w:space="1" w:color="823B0B" w:themeColor="accent2" w:themeShade="7F"/>
      </w:pBdr>
      <w:rPr>
        <w:rFonts w:asciiTheme="majorHAnsi" w:eastAsiaTheme="majorEastAsia" w:hAnsiTheme="majorHAnsi" w:cstheme="majorBidi"/>
        <w:lang w:eastAsia="en-US"/>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fldChar w:fldCharType="begin"/>
    </w:r>
    <w:r>
      <w:instrText xml:space="preserve"> PAGE   \* MERGEFORMAT </w:instrText>
    </w:r>
    <w:r>
      <w:fldChar w:fldCharType="separate"/>
    </w:r>
    <w:r>
      <w:rPr>
        <w:noProof/>
      </w:rPr>
      <w:t>2</w:t>
    </w:r>
    <w:r>
      <w:rPr>
        <w:rFonts w:asciiTheme="majorHAnsi" w:eastAsiaTheme="majorEastAsia" w:hAnsiTheme="majorHAnsi" w:cstheme="majorBidi"/>
        <w:noProof/>
      </w:rPr>
      <w:fldChar w:fldCharType="end"/>
    </w:r>
  </w:p>
  <w:p w:rsidR="00F11A9C" w:rsidRDefault="00F11A9C" w:rsidP="00F11A9C">
    <w:pPr>
      <w:pStyle w:val="Footer"/>
      <w:rPr>
        <w:rFonts w:eastAsiaTheme="minorHAnsi"/>
      </w:rPr>
    </w:pPr>
  </w:p>
  <w:p w:rsidR="00F11A9C" w:rsidRDefault="00F1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10" w:rsidRDefault="00B65D10" w:rsidP="00F11A9C">
      <w:pPr>
        <w:spacing w:after="0" w:line="240" w:lineRule="auto"/>
      </w:pPr>
      <w:r>
        <w:separator/>
      </w:r>
    </w:p>
  </w:footnote>
  <w:footnote w:type="continuationSeparator" w:id="0">
    <w:p w:rsidR="00B65D10" w:rsidRDefault="00B65D10" w:rsidP="00F1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6"/>
  </w:num>
  <w:num w:numId="2">
    <w:abstractNumId w:val="0"/>
  </w:num>
  <w:num w:numId="3">
    <w:abstractNumId w:val="2"/>
  </w:num>
  <w:num w:numId="4">
    <w:abstractNumId w:val="3"/>
  </w:num>
  <w:num w:numId="5">
    <w:abstractNumId w:val="1"/>
  </w:num>
  <w:num w:numId="6">
    <w:abstractNumId w:val="10"/>
  </w:num>
  <w:num w:numId="7">
    <w:abstractNumId w:val="8"/>
  </w:num>
  <w:num w:numId="8">
    <w:abstractNumId w:val="11"/>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317464"/>
    <w:rsid w:val="003227AC"/>
    <w:rsid w:val="00437FDD"/>
    <w:rsid w:val="004671E2"/>
    <w:rsid w:val="007607B6"/>
    <w:rsid w:val="007C1540"/>
    <w:rsid w:val="008E7008"/>
    <w:rsid w:val="00A56878"/>
    <w:rsid w:val="00B65D10"/>
    <w:rsid w:val="00BF5066"/>
    <w:rsid w:val="00CF1B05"/>
    <w:rsid w:val="00E87F73"/>
    <w:rsid w:val="00F11A9C"/>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F11A9C"/>
    <w:pPr>
      <w:tabs>
        <w:tab w:val="center" w:pos="4513"/>
        <w:tab w:val="right" w:pos="9026"/>
      </w:tabs>
      <w:spacing w:after="0" w:line="240" w:lineRule="auto"/>
    </w:pPr>
  </w:style>
  <w:style w:type="character" w:customStyle="1" w:styleId="HeaderChar">
    <w:name w:val="Header Char"/>
    <w:basedOn w:val="DefaultParagraphFont"/>
    <w:link w:val="Header"/>
    <w:rsid w:val="00F11A9C"/>
    <w:rPr>
      <w:lang w:eastAsia="zh-CN"/>
    </w:rPr>
  </w:style>
  <w:style w:type="paragraph" w:styleId="Footer">
    <w:name w:val="footer"/>
    <w:basedOn w:val="Normal"/>
    <w:link w:val="FooterChar"/>
    <w:uiPriority w:val="99"/>
    <w:rsid w:val="00F1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A9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4</cp:revision>
  <dcterms:created xsi:type="dcterms:W3CDTF">2020-04-09T04:21:00Z</dcterms:created>
  <dcterms:modified xsi:type="dcterms:W3CDTF">2020-05-04T13:57:00Z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