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8620" w14:textId="77777777" w:rsidR="006931F9" w:rsidRPr="006931F9" w:rsidRDefault="006931F9" w:rsidP="006931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</w:pPr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 xml:space="preserve">ITDC </w:t>
      </w:r>
      <w:proofErr w:type="spellStart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>menggenjot</w:t>
      </w:r>
      <w:proofErr w:type="spellEnd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>pembangunan</w:t>
      </w:r>
      <w:proofErr w:type="spellEnd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>sarana</w:t>
      </w:r>
      <w:proofErr w:type="spellEnd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 xml:space="preserve"> dan </w:t>
      </w:r>
      <w:proofErr w:type="spellStart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>prasarana</w:t>
      </w:r>
      <w:proofErr w:type="spellEnd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 xml:space="preserve"> di </w:t>
      </w:r>
      <w:proofErr w:type="spellStart"/>
      <w:r w:rsidRPr="006931F9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ID"/>
        </w:rPr>
        <w:t>Mandalika</w:t>
      </w:r>
      <w:proofErr w:type="spellEnd"/>
    </w:p>
    <w:p w14:paraId="5559F44B" w14:textId="77777777" w:rsidR="006931F9" w:rsidRPr="006931F9" w:rsidRDefault="006931F9" w:rsidP="006931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C521AB" wp14:editId="32065758">
            <wp:extent cx="3867150" cy="2577957"/>
            <wp:effectExtent l="0" t="0" r="0" b="0"/>
            <wp:docPr id="1" name="Picture 1" descr="ITDC menggenjot pembangunan sarana dan prasarana di Manda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DC menggenjot pembangunan sarana dan prasarana di Mandal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09" cy="258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5400" w14:textId="77777777" w:rsid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14:paraId="76FDD6A8" w14:textId="461AF11B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Mataram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(ANTARA) - PT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Pariwisata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(Persero)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Tourism Development Corporation (ITDC)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membangun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sepanjang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km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menuju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Pantai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Gerupuk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Pantai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guna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mewujudkan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pengembangan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Kawasan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Khusus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(KEK)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destinasi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super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Direktur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Utama ITDC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Abdulbar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Mansoer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tertulis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Jumat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mengatakan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KEK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NTB,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kawasan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dikembangkan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area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seluas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1.175 Ha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status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lahan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31F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clean and clear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berjalan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zona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timur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menghubungkan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provinsi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Sunggung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menuju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Pantai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Gerupuk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Tanjung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berada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sisi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timur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kawasan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Proyek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termasuk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paket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pembiayaan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Lembaga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Pembiayaan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Ekspor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(LPEI)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skema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National Interest Account (NIA)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pengaspalan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lebar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masing-masing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8 meter</w:t>
      </w:r>
      <w:proofErr w:type="gram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31F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Right of way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(ROW)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90 meter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sepanjang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km,"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ujarnya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tertulis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wartawan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Mataram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Jumat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menjelaskan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tengah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pengaspalan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sisi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dilengkapi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pelengkap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pembatas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saluran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terbuka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drainase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swale)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area </w:t>
      </w:r>
      <w:r w:rsidRPr="006931F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landscape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Proyek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dikerjakan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mematuhi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protokol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penyebaran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dikeluarkan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ditargetkan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selesai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akhir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jangka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akses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dilengkapi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penerangan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umum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(PJU), pedestrian, dan landscape.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Ruas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pada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ruas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timur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nantinya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terhubung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bypass Bandara International Lombok (BIL)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menuju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sepanjang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Km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dikerjakan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Kementerian PUPR," </w:t>
      </w:r>
      <w:proofErr w:type="spellStart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katanya</w:t>
      </w:r>
      <w:proofErr w:type="spellEnd"/>
      <w:r w:rsidRPr="00693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F53AC01" w14:textId="77777777" w:rsid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</w:p>
    <w:p w14:paraId="4414EDA0" w14:textId="77777777" w:rsid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6931F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Komitmen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Abdulbar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ITDC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berkomitmen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kualitas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infrastruktur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dasar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konektivitas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kawasan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investasi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sekaligus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mendorong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kunjungan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wisatawan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salah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5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destinasi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super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prioritas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pilihan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"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Peningkatan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kualitas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jalan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akses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mempermudah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akses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jalan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provinsi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arah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Pantai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Gerupuk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daerah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wisata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surfing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 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digemari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wisatawan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turis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gelombang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ombak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cukup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unik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Tanjung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," kata 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Abdulbar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Pantai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Gerupuk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terletak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kurang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7 Km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Pantai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Kuta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diakses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kendaraan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motor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mobil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Pantai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terkenal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pasir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putih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air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laut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biru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gelombang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indah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tingginya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bisa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mencapai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3 meter.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Hal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Pantai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Gerupuk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salah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tempat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berselancar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terbaik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NTB.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pengunjung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bisa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menikmati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pemandangan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pantai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keindahan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matahari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terbenam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bukit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sisi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pantai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samping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menyiapkan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infrastruktur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dasar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kawasan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kata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Abdulbar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ITDC juga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tengah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percepatan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pembebasan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enclave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prioritas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terletak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wilayah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pembangunan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International Street Circuit (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Sirkuit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"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proses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pembebasan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berjalan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Setelah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dialog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konstruktif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warga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menyatakan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dukungannya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melepas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mereka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appraisal,"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ucapnya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total 13,2 Ha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enclave, 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sebanyak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4,6 ha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dibebaskan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mulai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pembayaran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Sementara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sisanya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tengah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proses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negosiasi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mempercepat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penyelesaian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pembebasan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enclave,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menawarkan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ganti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untung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ITDC juga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membuat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terobosan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menawarkan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skema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baru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ruislag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tukar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guling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pemilik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enclave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proofErr w:type="spellStart"/>
      <w:r w:rsidRPr="006931F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Optimistis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 xml:space="preserve">ITDC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optimistis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skema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baru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ditawarkan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diterima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proses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pembebasan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segera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diselesaikan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"Kami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berterima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kasih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dukungan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khususnya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pemilik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enclave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Satuan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Tugas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Gabungan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Percepatan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Pembangunan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Forkopimda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Lombok Tengah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lancarnya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 xml:space="preserve">proses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pembebasan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enclave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," kata Abubakar.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dukungan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lintasan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sirkuit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hampir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memperoleh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persetujuan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pemilik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dibebaskan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proses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negosiasi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sisanya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berjalan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," kata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Abdulbar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lanjut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Abdulbar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luar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enclave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aset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sudah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bersertifikat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HPL ITDC dan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berstatus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clear and clean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masih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klaim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warga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bukti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berupa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sporadik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surat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keterangan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tanah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ternyata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tumpang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tindih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HPL ITDC,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penyelesaian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klaim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harus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diselesaikan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jalur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gugatan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pengadilan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bukan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tindakan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intimidatif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kontra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produktif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Hal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bukti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sporadik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surat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keterangan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tanah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bukan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bukti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kepemilikan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hak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tanah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Undang-undang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Pokok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Agraria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memastikan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pembangunan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kawasan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dilaksanakan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sudah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masuk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HPL ITDC dan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berstatus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r w:rsidRPr="006931F9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clean and clear</w:t>
      </w: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Pihaknya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membangun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belum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status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hukum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tetap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Oleh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dia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optimistis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Mandalika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terus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berjalan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mampu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kontribusi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perekonomian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NTB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khususnya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Lombok Tengah.</w:t>
      </w:r>
    </w:p>
    <w:p w14:paraId="058652B7" w14:textId="77777777" w:rsid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*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Pewarta</w:t>
      </w:r>
      <w:proofErr w:type="spellEnd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: Nur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Imansyah</w:t>
      </w:r>
      <w:proofErr w:type="spellEnd"/>
    </w:p>
    <w:p w14:paraId="6F399EB6" w14:textId="77777777" w:rsid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Editor: Riza </w:t>
      </w:r>
      <w:proofErr w:type="spellStart"/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Fahriza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1ECDE710" w14:textId="108A95B2" w:rsid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931F9">
        <w:rPr>
          <w:rFonts w:ascii="Times New Roman" w:eastAsia="Times New Roman" w:hAnsi="Times New Roman" w:cs="Times New Roman"/>
          <w:sz w:val="24"/>
          <w:szCs w:val="24"/>
          <w:lang w:eastAsia="en-ID"/>
        </w:rPr>
        <w:t>COPYRIGHT © ANTARA 2020</w:t>
      </w:r>
    </w:p>
    <w:p w14:paraId="695875DB" w14:textId="7D7169AD" w:rsid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2F005B1" w14:textId="7DB81E6F" w:rsidR="006931F9" w:rsidRPr="006931F9" w:rsidRDefault="006931F9" w:rsidP="00693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6931F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6931F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931F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Berita</w:t>
      </w:r>
      <w:proofErr w:type="spellEnd"/>
      <w:r w:rsidRPr="006931F9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:</w:t>
      </w:r>
    </w:p>
    <w:p w14:paraId="5C261D64" w14:textId="1AD7E53E" w:rsidR="006931F9" w:rsidRPr="006931F9" w:rsidRDefault="006931F9" w:rsidP="006931F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D5C61">
          <w:rPr>
            <w:rStyle w:val="Hyperlink"/>
            <w:rFonts w:ascii="Times New Roman" w:hAnsi="Times New Roman" w:cs="Times New Roman"/>
            <w:sz w:val="24"/>
            <w:szCs w:val="24"/>
          </w:rPr>
          <w:t>https://mataram.antaranews.com/berita/118016/itdc-menggenjot-pembangunan-sarana-dan-prasarana-di-mandalika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Mei 2020</w:t>
      </w:r>
    </w:p>
    <w:p w14:paraId="3D42683C" w14:textId="6F63D6AF" w:rsidR="006931F9" w:rsidRPr="006931F9" w:rsidRDefault="006931F9" w:rsidP="006931F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D5C61">
          <w:rPr>
            <w:rStyle w:val="Hyperlink"/>
            <w:rFonts w:ascii="Times New Roman" w:hAnsi="Times New Roman" w:cs="Times New Roman"/>
            <w:sz w:val="24"/>
            <w:szCs w:val="24"/>
          </w:rPr>
          <w:t>https://mataram.antaranews.com/berita/115911/pembangunan-sirkuit-mandalika-terus-berjalan-di-tengah-wabah-covid-19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Mei 2020</w:t>
      </w:r>
    </w:p>
    <w:p w14:paraId="37A596A5" w14:textId="26A992E3" w:rsid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4E78E" w14:textId="056B1E9A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b/>
          <w:bCs/>
          <w:sz w:val="24"/>
          <w:szCs w:val="24"/>
        </w:rPr>
        <w:t>Catatan</w:t>
      </w:r>
      <w:proofErr w:type="spellEnd"/>
      <w:r w:rsidRPr="00693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6931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911167" w14:textId="77777777" w:rsidR="006931F9" w:rsidRPr="006931F9" w:rsidRDefault="006931F9" w:rsidP="006931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Dasar Hukum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665597F9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7CB41973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122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2441437F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3. UU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76C71635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</w:p>
    <w:p w14:paraId="4EABDC80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6EE0C" w14:textId="77777777" w:rsidR="006931F9" w:rsidRPr="006931F9" w:rsidRDefault="006931F9" w:rsidP="006931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00570A25" w14:textId="77777777" w:rsidR="006931F9" w:rsidRPr="006931F9" w:rsidRDefault="006931F9" w:rsidP="006931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penyediaannya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diprioritaskan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62CE15E" w14:textId="77777777" w:rsidR="006931F9" w:rsidRPr="006931F9" w:rsidRDefault="006931F9" w:rsidP="006931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22CEA845" w14:textId="77777777" w:rsidR="006931F9" w:rsidRPr="006931F9" w:rsidRDefault="006931F9" w:rsidP="006931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KPPIP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6D1A2E1D" w14:textId="77777777" w:rsidR="006931F9" w:rsidRPr="006931F9" w:rsidRDefault="006931F9" w:rsidP="006931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1 Kawasan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KEK,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</w:p>
    <w:p w14:paraId="20680094" w14:textId="77777777" w:rsidR="006931F9" w:rsidRPr="006931F9" w:rsidRDefault="006931F9" w:rsidP="006931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Nusa Tenggara Barat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Mandalika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</w:p>
    <w:p w14:paraId="50EAF2EC" w14:textId="77777777" w:rsidR="006931F9" w:rsidRPr="006931F9" w:rsidRDefault="006931F9" w:rsidP="006931F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63AAC" w14:textId="77777777" w:rsidR="006931F9" w:rsidRPr="006931F9" w:rsidRDefault="006931F9" w:rsidP="006931F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</w:p>
    <w:p w14:paraId="32B5CAC0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033001AB" w14:textId="77777777" w:rsidR="006931F9" w:rsidRPr="006931F9" w:rsidRDefault="006931F9" w:rsidP="006931F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63BCAF65" w14:textId="77777777" w:rsidR="006931F9" w:rsidRPr="006931F9" w:rsidRDefault="006931F9" w:rsidP="006931F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wilayah;</w:t>
      </w:r>
    </w:p>
    <w:p w14:paraId="58A1B153" w14:textId="77777777" w:rsidR="006931F9" w:rsidRPr="006931F9" w:rsidRDefault="006931F9" w:rsidP="006931F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wilayah;</w:t>
      </w:r>
    </w:p>
    <w:p w14:paraId="4E1CA2C1" w14:textId="77777777" w:rsidR="006931F9" w:rsidRPr="006931F9" w:rsidRDefault="006931F9" w:rsidP="006931F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ksejahteraan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dan/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3B9CABA4" w14:textId="77777777" w:rsidR="006931F9" w:rsidRPr="006931F9" w:rsidRDefault="006931F9" w:rsidP="006931F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04719124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9CE66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25CFDB00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32114E77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5CFBFF4C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A7DFF2B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5EB2F86D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12F14557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CFDE8FB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3DFBEDF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79AA5B1B" w14:textId="77777777" w:rsidR="006931F9" w:rsidRPr="006931F9" w:rsidRDefault="006931F9" w:rsidP="006931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177622CE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2A220663" w14:textId="77777777" w:rsidR="006931F9" w:rsidRPr="006931F9" w:rsidRDefault="006931F9" w:rsidP="00693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perkeretaapian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765BDDBA" w14:textId="77777777" w:rsidR="006931F9" w:rsidRPr="006931F9" w:rsidRDefault="006931F9" w:rsidP="00693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3D5619A3" w14:textId="77777777" w:rsidR="006931F9" w:rsidRPr="006931F9" w:rsidRDefault="006931F9" w:rsidP="00693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penyeberangan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2B225FCD" w14:textId="77777777" w:rsidR="006931F9" w:rsidRPr="006931F9" w:rsidRDefault="006931F9" w:rsidP="00693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kebandarudaraan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60C2104A" w14:textId="77777777" w:rsidR="006931F9" w:rsidRPr="006931F9" w:rsidRDefault="006931F9" w:rsidP="006931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darat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0FF7D867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3235A203" w14:textId="77777777" w:rsidR="006931F9" w:rsidRPr="006931F9" w:rsidRDefault="006931F9" w:rsidP="006931F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E952894" w14:textId="77777777" w:rsidR="006931F9" w:rsidRPr="006931F9" w:rsidRDefault="006931F9" w:rsidP="006931F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B42874A" w14:textId="77777777" w:rsidR="006931F9" w:rsidRPr="006931F9" w:rsidRDefault="006931F9" w:rsidP="006931F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524CED56" w14:textId="77777777" w:rsidR="006931F9" w:rsidRPr="006931F9" w:rsidRDefault="006931F9" w:rsidP="006931F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Jembatan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tol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6C39D2B5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pengairan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01555B20" w14:textId="77777777" w:rsidR="006931F9" w:rsidRPr="006931F9" w:rsidRDefault="006931F9" w:rsidP="006931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Waduk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295875B" w14:textId="77777777" w:rsidR="006931F9" w:rsidRPr="006931F9" w:rsidRDefault="006931F9" w:rsidP="006931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Bendung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7D7698C1" w14:textId="77777777" w:rsidR="006931F9" w:rsidRPr="006931F9" w:rsidRDefault="006931F9" w:rsidP="006931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49CF2298" w14:textId="77777777" w:rsidR="006931F9" w:rsidRPr="006931F9" w:rsidRDefault="006931F9" w:rsidP="006931F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lastRenderedPageBreak/>
        <w:t>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2A6EEC13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7C6359FC" w14:textId="77777777" w:rsidR="006931F9" w:rsidRPr="006931F9" w:rsidRDefault="006931F9" w:rsidP="006931F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0A800486" w14:textId="77777777" w:rsidR="006931F9" w:rsidRPr="006931F9" w:rsidRDefault="006931F9" w:rsidP="006931F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6C3A326A" w14:textId="77777777" w:rsidR="006931F9" w:rsidRPr="006931F9" w:rsidRDefault="006931F9" w:rsidP="006931F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0FACED05" w14:textId="77777777" w:rsidR="006931F9" w:rsidRPr="006931F9" w:rsidRDefault="006931F9" w:rsidP="006931F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14:paraId="780D8A7E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3A86EE06" w14:textId="77777777" w:rsidR="006931F9" w:rsidRPr="006931F9" w:rsidRDefault="006931F9" w:rsidP="006931F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65662588" w14:textId="77777777" w:rsidR="006931F9" w:rsidRPr="006931F9" w:rsidRDefault="006931F9" w:rsidP="006931F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1ABACBF1" w14:textId="77777777" w:rsidR="006931F9" w:rsidRPr="006931F9" w:rsidRDefault="006931F9" w:rsidP="006931F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0B2EA7DB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 xml:space="preserve">Sarana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persampahan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17EA4518" w14:textId="77777777" w:rsidR="006931F9" w:rsidRPr="006931F9" w:rsidRDefault="006931F9" w:rsidP="006931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Pengangkut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1169569B" w14:textId="77777777" w:rsidR="006931F9" w:rsidRPr="006931F9" w:rsidRDefault="006931F9" w:rsidP="006931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112C2438" w14:textId="77777777" w:rsidR="006931F9" w:rsidRPr="006931F9" w:rsidRDefault="006931F9" w:rsidP="006931F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65763CC0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ketenagalistrikan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04058BBD" w14:textId="77777777" w:rsidR="006931F9" w:rsidRPr="006931F9" w:rsidRDefault="006931F9" w:rsidP="006931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Pembangkit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63CE7A0B" w14:textId="77777777" w:rsidR="006931F9" w:rsidRPr="006931F9" w:rsidRDefault="006931F9" w:rsidP="006931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032CF488" w14:textId="77777777" w:rsidR="006931F9" w:rsidRPr="006931F9" w:rsidRDefault="006931F9" w:rsidP="006931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6EADB489" w14:textId="77777777" w:rsidR="006931F9" w:rsidRPr="006931F9" w:rsidRDefault="006931F9" w:rsidP="006931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18F3CF48" w14:textId="77777777" w:rsidR="006931F9" w:rsidRPr="006931F9" w:rsidRDefault="006931F9" w:rsidP="006931F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eksploitasi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5C63A9BD" w14:textId="77777777" w:rsidR="006931F9" w:rsidRPr="006931F9" w:rsidRDefault="006931F9" w:rsidP="006931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:</w:t>
      </w:r>
    </w:p>
    <w:p w14:paraId="7673946B" w14:textId="77777777" w:rsidR="006931F9" w:rsidRPr="006931F9" w:rsidRDefault="006931F9" w:rsidP="006931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Kilang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B11C821" w14:textId="77777777" w:rsidR="006931F9" w:rsidRPr="006931F9" w:rsidRDefault="006931F9" w:rsidP="006931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F9">
        <w:rPr>
          <w:rFonts w:ascii="Times New Roman" w:hAnsi="Times New Roman" w:cs="Times New Roman"/>
          <w:sz w:val="24"/>
          <w:szCs w:val="24"/>
        </w:rPr>
        <w:t>Depo; dan</w:t>
      </w:r>
    </w:p>
    <w:p w14:paraId="04376C30" w14:textId="77777777" w:rsidR="006931F9" w:rsidRPr="006931F9" w:rsidRDefault="006931F9" w:rsidP="006931F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gas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14:paraId="5D3E2AE1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D17B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KPPIP (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):</w:t>
      </w:r>
    </w:p>
    <w:p w14:paraId="55142A0F" w14:textId="77777777" w:rsidR="006931F9" w:rsidRPr="006931F9" w:rsidRDefault="006931F9" w:rsidP="006931F9">
      <w:pPr>
        <w:pStyle w:val="ListParagraph"/>
        <w:numPr>
          <w:ilvl w:val="1"/>
          <w:numId w:val="1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019E5B24" w14:textId="77777777" w:rsidR="006931F9" w:rsidRPr="006931F9" w:rsidRDefault="006931F9" w:rsidP="006931F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lastRenderedPageBreak/>
        <w:t>memantau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331B37D0" w14:textId="77777777" w:rsidR="006931F9" w:rsidRPr="006931F9" w:rsidRDefault="006931F9" w:rsidP="006931F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36390832" w14:textId="77777777" w:rsidR="006931F9" w:rsidRPr="006931F9" w:rsidRDefault="006931F9" w:rsidP="006931F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Prastudi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evaluasinya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</w:t>
      </w:r>
    </w:p>
    <w:p w14:paraId="44FC3F24" w14:textId="77777777" w:rsidR="006931F9" w:rsidRPr="006931F9" w:rsidRDefault="006931F9" w:rsidP="006931F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; dan</w:t>
      </w:r>
    </w:p>
    <w:p w14:paraId="1C0F297D" w14:textId="77777777" w:rsidR="006931F9" w:rsidRPr="006931F9" w:rsidRDefault="006931F9" w:rsidP="006931F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31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1F9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931F9">
        <w:rPr>
          <w:rFonts w:ascii="Times New Roman" w:hAnsi="Times New Roman" w:cs="Times New Roman"/>
          <w:sz w:val="24"/>
          <w:szCs w:val="24"/>
        </w:rPr>
        <w:t>.</w:t>
      </w:r>
      <w:r w:rsidRPr="006931F9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0CB758FC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D7457" w14:textId="77777777" w:rsidR="006931F9" w:rsidRPr="006931F9" w:rsidRDefault="006931F9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32FD" w14:textId="15C1C020" w:rsidR="00A10FB2" w:rsidRPr="006931F9" w:rsidRDefault="00A10FB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44C83" w14:textId="6B2822F7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254B7" w14:textId="0908DB68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5E00D" w14:textId="2F012033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D1752" w14:textId="17B499FB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3E8F6" w14:textId="0D8CD061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2D6C0" w14:textId="499588D3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ED0E9" w14:textId="35912E59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BCC8C" w14:textId="62D2E3E2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D4AD0" w14:textId="14ABF51E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7346D" w14:textId="77D2F9BC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38DB7" w14:textId="30209F64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872F" w14:textId="1341F756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A4906" w14:textId="59906084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9307" w14:textId="59BC3CAC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771D" w14:textId="66966B33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B714C" w14:textId="6D564E6B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B4899" w14:textId="02ECD473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0276" w14:textId="392E5C09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D96B7" w14:textId="4CDBD554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3D21B" w14:textId="49F02070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FF3C" w14:textId="77777777" w:rsidR="00A36662" w:rsidRPr="006931F9" w:rsidRDefault="00A36662" w:rsidP="00693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662" w:rsidRPr="006931F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D48E0" w14:textId="77777777" w:rsidR="00BC4732" w:rsidRDefault="00BC4732" w:rsidP="008B709A">
      <w:pPr>
        <w:spacing w:after="0" w:line="240" w:lineRule="auto"/>
      </w:pPr>
      <w:r>
        <w:separator/>
      </w:r>
    </w:p>
  </w:endnote>
  <w:endnote w:type="continuationSeparator" w:id="0">
    <w:p w14:paraId="749142DD" w14:textId="77777777" w:rsidR="00BC4732" w:rsidRDefault="00BC4732" w:rsidP="008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3438" w14:textId="5EBECFCC" w:rsidR="008B709A" w:rsidRDefault="008B709A" w:rsidP="008B709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4D353DD" w14:textId="2314599E" w:rsidR="008B709A" w:rsidRDefault="008B709A">
    <w:pPr>
      <w:pStyle w:val="Footer"/>
    </w:pPr>
  </w:p>
  <w:p w14:paraId="6AFB9995" w14:textId="77777777" w:rsidR="008B709A" w:rsidRDefault="008B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25037" w14:textId="77777777" w:rsidR="00BC4732" w:rsidRDefault="00BC4732" w:rsidP="008B709A">
      <w:pPr>
        <w:spacing w:after="0" w:line="240" w:lineRule="auto"/>
      </w:pPr>
      <w:r>
        <w:separator/>
      </w:r>
    </w:p>
  </w:footnote>
  <w:footnote w:type="continuationSeparator" w:id="0">
    <w:p w14:paraId="4A570E41" w14:textId="77777777" w:rsidR="00BC4732" w:rsidRDefault="00BC4732" w:rsidP="008B709A">
      <w:pPr>
        <w:spacing w:after="0" w:line="240" w:lineRule="auto"/>
      </w:pPr>
      <w:r>
        <w:continuationSeparator/>
      </w:r>
    </w:p>
  </w:footnote>
  <w:footnote w:id="1">
    <w:p w14:paraId="3D5C350F" w14:textId="77777777" w:rsidR="006931F9" w:rsidRPr="00C149B2" w:rsidRDefault="006931F9" w:rsidP="006931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Peraturan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Presiden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Nomor</w:t>
      </w:r>
      <w:proofErr w:type="spellEnd"/>
      <w:r>
        <w:rPr>
          <w:rFonts w:ascii="Calibri" w:hAnsi="Calibri" w:cs="Calibri"/>
          <w:sz w:val="20"/>
          <w:szCs w:val="20"/>
        </w:rPr>
        <w:t xml:space="preserve"> 75 </w:t>
      </w:r>
      <w:proofErr w:type="spellStart"/>
      <w:r>
        <w:rPr>
          <w:rFonts w:ascii="Calibri" w:hAnsi="Calibri" w:cs="Calibri"/>
          <w:sz w:val="20"/>
          <w:szCs w:val="20"/>
        </w:rPr>
        <w:t>Tahun</w:t>
      </w:r>
      <w:proofErr w:type="spellEnd"/>
      <w:r>
        <w:rPr>
          <w:rFonts w:ascii="Calibri" w:hAnsi="Calibri" w:cs="Calibri"/>
          <w:sz w:val="20"/>
          <w:szCs w:val="20"/>
        </w:rPr>
        <w:t xml:space="preserve"> 2014, </w:t>
      </w:r>
      <w:proofErr w:type="spellStart"/>
      <w:r>
        <w:rPr>
          <w:rFonts w:ascii="Calibri" w:hAnsi="Calibri" w:cs="Calibri"/>
          <w:sz w:val="20"/>
          <w:szCs w:val="20"/>
        </w:rPr>
        <w:t>Pasal</w:t>
      </w:r>
      <w:proofErr w:type="spellEnd"/>
      <w:r>
        <w:rPr>
          <w:rFonts w:ascii="Calibri" w:hAnsi="Calibri" w:cs="Calibri"/>
          <w:sz w:val="20"/>
          <w:szCs w:val="20"/>
        </w:rPr>
        <w:t xml:space="preserve"> 1 Ayat (1)</w:t>
      </w:r>
    </w:p>
  </w:footnote>
  <w:footnote w:id="2">
    <w:p w14:paraId="156C61A2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(2)</w:t>
      </w:r>
    </w:p>
  </w:footnote>
  <w:footnote w:id="3">
    <w:p w14:paraId="79EA4DE1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1 Ayat (6)</w:t>
      </w:r>
    </w:p>
  </w:footnote>
  <w:footnote w:id="4">
    <w:p w14:paraId="2CBA9C43" w14:textId="77777777" w:rsidR="006931F9" w:rsidRPr="00E473B4" w:rsidRDefault="006931F9" w:rsidP="006931F9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56CF">
        <w:rPr>
          <w:rFonts w:cstheme="minorHAnsi"/>
        </w:rPr>
        <w:t>Peraturan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Presiden</w:t>
      </w:r>
      <w:proofErr w:type="spellEnd"/>
      <w:r w:rsidRPr="00E456CF">
        <w:rPr>
          <w:rFonts w:cstheme="minorHAnsi"/>
        </w:rPr>
        <w:t xml:space="preserve"> </w:t>
      </w:r>
      <w:proofErr w:type="spellStart"/>
      <w:r w:rsidRPr="00E456CF">
        <w:rPr>
          <w:rFonts w:cstheme="minorHAnsi"/>
        </w:rPr>
        <w:t>Nomor</w:t>
      </w:r>
      <w:proofErr w:type="spellEnd"/>
      <w:r w:rsidRPr="00E456CF">
        <w:rPr>
          <w:rFonts w:cstheme="minorHAnsi"/>
        </w:rPr>
        <w:t xml:space="preserve"> 75 </w:t>
      </w:r>
      <w:proofErr w:type="spellStart"/>
      <w:r w:rsidRPr="00E456CF">
        <w:rPr>
          <w:rFonts w:cstheme="minorHAnsi"/>
        </w:rPr>
        <w:t>Tahun</w:t>
      </w:r>
      <w:proofErr w:type="spellEnd"/>
      <w:r w:rsidRPr="00E456CF">
        <w:rPr>
          <w:rFonts w:cstheme="minorHAnsi"/>
        </w:rPr>
        <w:t xml:space="preserve"> 2014, </w:t>
      </w:r>
      <w:proofErr w:type="spellStart"/>
      <w:r w:rsidRPr="00E456CF">
        <w:rPr>
          <w:rFonts w:cstheme="minorHAnsi"/>
        </w:rPr>
        <w:t>Pasal</w:t>
      </w:r>
      <w:proofErr w:type="spellEnd"/>
      <w:r w:rsidRPr="00E456CF">
        <w:rPr>
          <w:rFonts w:cstheme="minorHAnsi"/>
        </w:rPr>
        <w:t xml:space="preserve"> 5</w:t>
      </w:r>
    </w:p>
  </w:footnote>
  <w:footnote w:id="5">
    <w:p w14:paraId="0E0982FF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6">
    <w:p w14:paraId="1DF31D26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7">
    <w:p w14:paraId="12B1EA3D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8">
    <w:p w14:paraId="4E73D8D0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9">
    <w:p w14:paraId="4D51754F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0">
    <w:p w14:paraId="490E380F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1">
    <w:p w14:paraId="4189618E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2">
    <w:p w14:paraId="4E7050B6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3">
    <w:p w14:paraId="45D544F0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Ibid, </w:t>
      </w:r>
      <w:proofErr w:type="spellStart"/>
      <w:r>
        <w:t>Pasal</w:t>
      </w:r>
      <w:proofErr w:type="spellEnd"/>
      <w:r>
        <w:t xml:space="preserve"> 6</w:t>
      </w:r>
    </w:p>
  </w:footnote>
  <w:footnote w:id="14">
    <w:p w14:paraId="21C27777" w14:textId="77777777" w:rsidR="006931F9" w:rsidRPr="00C149B2" w:rsidRDefault="006931F9" w:rsidP="006931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Calibri" w:hAnsi="Calibri" w:cs="Calibri"/>
        </w:rPr>
        <w:t>Peraturan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Presiden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Nomor</w:t>
      </w:r>
      <w:proofErr w:type="spellEnd"/>
      <w:r>
        <w:rPr>
          <w:rFonts w:ascii="Calibri" w:hAnsi="Calibri" w:cs="Calibri"/>
        </w:rPr>
        <w:t xml:space="preserve"> 75 </w:t>
      </w:r>
      <w:proofErr w:type="spellStart"/>
      <w:r>
        <w:rPr>
          <w:rFonts w:ascii="Calibri" w:hAnsi="Calibri" w:cs="Calibri"/>
        </w:rPr>
        <w:t>Tahun</w:t>
      </w:r>
      <w:proofErr w:type="spellEnd"/>
      <w:r>
        <w:rPr>
          <w:rFonts w:ascii="Calibri" w:hAnsi="Calibri" w:cs="Calibri"/>
        </w:rPr>
        <w:t xml:space="preserve"> 2014 </w:t>
      </w:r>
      <w:proofErr w:type="spellStart"/>
      <w:r>
        <w:rPr>
          <w:rFonts w:ascii="Calibri" w:hAnsi="Calibri" w:cs="Calibri"/>
        </w:rPr>
        <w:t>Pasal</w:t>
      </w:r>
      <w:proofErr w:type="spellEnd"/>
      <w:r>
        <w:rPr>
          <w:rFonts w:ascii="Calibri" w:hAnsi="Calibri" w:cs="Calibri"/>
        </w:rPr>
        <w:t xml:space="preserve"> 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641B"/>
    <w:multiLevelType w:val="hybridMultilevel"/>
    <w:tmpl w:val="BCF8216C"/>
    <w:lvl w:ilvl="0" w:tplc="930CA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152AE"/>
    <w:multiLevelType w:val="hybridMultilevel"/>
    <w:tmpl w:val="9432B6E6"/>
    <w:lvl w:ilvl="0" w:tplc="73B6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BFA31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D6D6B"/>
    <w:multiLevelType w:val="hybridMultilevel"/>
    <w:tmpl w:val="CDE0B6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6BD5"/>
    <w:multiLevelType w:val="hybridMultilevel"/>
    <w:tmpl w:val="E63AD7FE"/>
    <w:lvl w:ilvl="0" w:tplc="C1F2E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1FC5"/>
    <w:multiLevelType w:val="hybridMultilevel"/>
    <w:tmpl w:val="FB14C38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6C21"/>
    <w:multiLevelType w:val="hybridMultilevel"/>
    <w:tmpl w:val="4364AB54"/>
    <w:lvl w:ilvl="0" w:tplc="C28E7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42DF5"/>
    <w:multiLevelType w:val="hybridMultilevel"/>
    <w:tmpl w:val="B2AAC4BA"/>
    <w:lvl w:ilvl="0" w:tplc="4D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0730C"/>
    <w:multiLevelType w:val="hybridMultilevel"/>
    <w:tmpl w:val="1E5279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0BA20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AFC"/>
    <w:multiLevelType w:val="hybridMultilevel"/>
    <w:tmpl w:val="E174C7A0"/>
    <w:lvl w:ilvl="0" w:tplc="05D65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B3898"/>
    <w:multiLevelType w:val="hybridMultilevel"/>
    <w:tmpl w:val="B01A85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14BDE"/>
    <w:multiLevelType w:val="hybridMultilevel"/>
    <w:tmpl w:val="B726CE1E"/>
    <w:lvl w:ilvl="0" w:tplc="E4621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05050"/>
    <w:multiLevelType w:val="hybridMultilevel"/>
    <w:tmpl w:val="9EA6D5B2"/>
    <w:lvl w:ilvl="0" w:tplc="D5BAD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9A37E1"/>
    <w:multiLevelType w:val="hybridMultilevel"/>
    <w:tmpl w:val="D5E8E32C"/>
    <w:lvl w:ilvl="0" w:tplc="E39ED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6534AD"/>
    <w:multiLevelType w:val="hybridMultilevel"/>
    <w:tmpl w:val="7F9286D6"/>
    <w:lvl w:ilvl="0" w:tplc="D4CC1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1321E"/>
    <w:multiLevelType w:val="hybridMultilevel"/>
    <w:tmpl w:val="23BEACAC"/>
    <w:lvl w:ilvl="0" w:tplc="1E2E4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9A"/>
    <w:rsid w:val="00435DA2"/>
    <w:rsid w:val="004F347C"/>
    <w:rsid w:val="0059266E"/>
    <w:rsid w:val="006931F9"/>
    <w:rsid w:val="00717AC1"/>
    <w:rsid w:val="008B709A"/>
    <w:rsid w:val="00A10FB2"/>
    <w:rsid w:val="00A36662"/>
    <w:rsid w:val="00B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AA9"/>
  <w15:chartTrackingRefBased/>
  <w15:docId w15:val="{9AED9D33-9782-435A-953E-C40F006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9A"/>
  </w:style>
  <w:style w:type="paragraph" w:styleId="Footer">
    <w:name w:val="footer"/>
    <w:basedOn w:val="Normal"/>
    <w:link w:val="FooterChar"/>
    <w:uiPriority w:val="99"/>
    <w:unhideWhenUsed/>
    <w:rsid w:val="008B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9A"/>
  </w:style>
  <w:style w:type="character" w:styleId="Emphasis">
    <w:name w:val="Emphasis"/>
    <w:basedOn w:val="DefaultParagraphFont"/>
    <w:uiPriority w:val="20"/>
    <w:qFormat/>
    <w:rsid w:val="006931F9"/>
    <w:rPr>
      <w:i/>
      <w:iCs/>
    </w:rPr>
  </w:style>
  <w:style w:type="character" w:styleId="Hyperlink">
    <w:name w:val="Hyperlink"/>
    <w:basedOn w:val="DefaultParagraphFont"/>
    <w:uiPriority w:val="99"/>
    <w:unhideWhenUsed/>
    <w:rsid w:val="006931F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1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1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31F9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931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931F9"/>
  </w:style>
  <w:style w:type="character" w:styleId="UnresolvedMention">
    <w:name w:val="Unresolved Mention"/>
    <w:basedOn w:val="DefaultParagraphFont"/>
    <w:uiPriority w:val="99"/>
    <w:semiHidden/>
    <w:unhideWhenUsed/>
    <w:rsid w:val="0069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aram.antaranews.com/berita/118016/itdc-menggenjot-pembangunan-sarana-dan-prasarana-di-mandali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taram.antaranews.com/berita/115911/pembangunan-sirkuit-mandalika-terus-berjalan-di-tengah-wabah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Witdya Pangestika</dc:creator>
  <cp:keywords/>
  <dc:description/>
  <cp:lastModifiedBy>Witdya Pangestika</cp:lastModifiedBy>
  <cp:revision>2</cp:revision>
  <dcterms:created xsi:type="dcterms:W3CDTF">2020-06-01T15:37:00Z</dcterms:created>
  <dcterms:modified xsi:type="dcterms:W3CDTF">2020-06-01T15:37:00Z</dcterms:modified>
</cp:coreProperties>
</file>