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38" w:rsidRDefault="002018B4" w:rsidP="00B5242E">
      <w:pPr>
        <w:spacing w:after="120" w:line="280" w:lineRule="exact"/>
        <w:jc w:val="center"/>
        <w:rPr>
          <w:rFonts w:ascii="Times New Roman" w:hAnsi="Times New Roman" w:cs="Times New Roman"/>
          <w:b/>
          <w:sz w:val="28"/>
          <w:szCs w:val="28"/>
        </w:rPr>
      </w:pPr>
      <w:r w:rsidRPr="00B5242E">
        <w:rPr>
          <w:rFonts w:ascii="Times New Roman" w:hAnsi="Times New Roman" w:cs="Times New Roman"/>
          <w:b/>
          <w:sz w:val="28"/>
          <w:szCs w:val="28"/>
        </w:rPr>
        <w:t>KEJARI MATARAM SELIDIKI DUGAAN PENYELEWENGAN DANA DESA SESAIT</w:t>
      </w:r>
    </w:p>
    <w:p w:rsidR="00B5242E" w:rsidRDefault="00B5242E" w:rsidP="00B5242E">
      <w:pPr>
        <w:spacing w:after="120" w:line="280" w:lineRule="exact"/>
        <w:jc w:val="both"/>
        <w:rPr>
          <w:rFonts w:ascii="Times New Roman" w:hAnsi="Times New Roman" w:cs="Times New Roman"/>
          <w:b/>
          <w:sz w:val="24"/>
          <w:szCs w:val="28"/>
        </w:rPr>
      </w:pPr>
      <w:r>
        <w:rPr>
          <w:rFonts w:ascii="Times New Roman" w:hAnsi="Times New Roman" w:cs="Times New Roman"/>
          <w:b/>
          <w:noProof/>
          <w:sz w:val="24"/>
          <w:szCs w:val="28"/>
          <w:lang w:val="id-ID" w:eastAsia="id-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69850</wp:posOffset>
                </wp:positionV>
                <wp:extent cx="3552825" cy="2066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552825" cy="2066925"/>
                        </a:xfrm>
                        <a:prstGeom prst="rect">
                          <a:avLst/>
                        </a:prstGeom>
                        <a:solidFill>
                          <a:schemeClr val="lt1"/>
                        </a:solidFill>
                        <a:ln w="6350">
                          <a:noFill/>
                        </a:ln>
                      </wps:spPr>
                      <wps:txbx>
                        <w:txbxContent>
                          <w:p w:rsidR="00B5242E" w:rsidRDefault="00B5242E" w:rsidP="00B5242E">
                            <w:pPr>
                              <w:jc w:val="center"/>
                            </w:pPr>
                            <w:r w:rsidRPr="00B5242E">
                              <w:rPr>
                                <w:noProof/>
                                <w:lang w:val="id-ID" w:eastAsia="id-ID"/>
                              </w:rPr>
                              <w:drawing>
                                <wp:inline distT="0" distB="0" distL="0" distR="0">
                                  <wp:extent cx="3381375" cy="1947672"/>
                                  <wp:effectExtent l="0" t="0" r="0" b="0"/>
                                  <wp:docPr id="3" name="Picture 3" descr="D:\1. Non Audit\!! Subbag Hukum\dana d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Non Audit\!! Subbag Hukum\dana des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418" cy="1960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5pt;width:279.75pt;height:162.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" fillcolor="white [3201]" stroked="f" strokeweight=".5pt">
                <v:textbox>
                  <w:txbxContent>
                    <w:p w:rsidR="00B5242E" w:rsidRDefault="00B5242E" w:rsidP="00B5242E">
                      <w:pPr>
                        <w:jc w:val="center"/>
                      </w:pPr>
                      <w:r w:rsidRPr="00B5242E">
                        <w:rPr>
                          <w:noProof/>
                          <w:lang w:val="id-ID" w:eastAsia="id-ID"/>
                        </w:rPr>
                        <w:drawing>
                          <wp:inline distT="0" distB="0" distL="0" distR="0">
                            <wp:extent cx="3381375" cy="1947672"/>
                            <wp:effectExtent l="0" t="0" r="0" b="0"/>
                            <wp:docPr id="3" name="Picture 3" descr="D:\1. Non Audit\!! Subbag Hukum\dana d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Non Audit\!! Subbag Hukum\dana des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418" cy="1960369"/>
                                    </a:xfrm>
                                    <a:prstGeom prst="rect">
                                      <a:avLst/>
                                    </a:prstGeom>
                                    <a:noFill/>
                                    <a:ln>
                                      <a:noFill/>
                                    </a:ln>
                                  </pic:spPr>
                                </pic:pic>
                              </a:graphicData>
                            </a:graphic>
                          </wp:inline>
                        </w:drawing>
                      </w:r>
                    </w:p>
                  </w:txbxContent>
                </v:textbox>
                <w10:wrap anchorx="margin"/>
              </v:shape>
            </w:pict>
          </mc:Fallback>
        </mc:AlternateContent>
      </w: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Default="00B5242E" w:rsidP="00B5242E">
      <w:pPr>
        <w:spacing w:after="120" w:line="280" w:lineRule="exact"/>
        <w:jc w:val="both"/>
        <w:rPr>
          <w:rFonts w:ascii="Times New Roman" w:hAnsi="Times New Roman" w:cs="Times New Roman"/>
          <w:b/>
          <w:sz w:val="24"/>
          <w:szCs w:val="28"/>
        </w:rPr>
      </w:pPr>
    </w:p>
    <w:p w:rsidR="00B5242E" w:rsidRPr="00B5242E" w:rsidRDefault="00B5242E" w:rsidP="00B5242E">
      <w:pPr>
        <w:spacing w:before="240" w:after="120" w:line="280" w:lineRule="exact"/>
        <w:jc w:val="center"/>
        <w:rPr>
          <w:rFonts w:ascii="Times New Roman" w:hAnsi="Times New Roman" w:cs="Times New Roman"/>
          <w:i/>
          <w:sz w:val="24"/>
          <w:szCs w:val="28"/>
          <w:lang w:val="id-ID"/>
        </w:rPr>
      </w:pPr>
      <w:r w:rsidRPr="00B5242E">
        <w:rPr>
          <w:rFonts w:ascii="Times New Roman" w:hAnsi="Times New Roman" w:cs="Times New Roman"/>
          <w:i/>
          <w:sz w:val="24"/>
          <w:szCs w:val="28"/>
          <w:lang w:val="id-ID"/>
        </w:rPr>
        <w:t>Trubus.news</w:t>
      </w:r>
    </w:p>
    <w:p w:rsidR="00B5242E" w:rsidRDefault="00B5242E" w:rsidP="00B5242E">
      <w:pPr>
        <w:spacing w:after="120" w:line="280" w:lineRule="exact"/>
        <w:jc w:val="both"/>
        <w:rPr>
          <w:rFonts w:ascii="Times New Roman" w:hAnsi="Times New Roman" w:cs="Times New Roman"/>
          <w:b/>
          <w:sz w:val="24"/>
          <w:szCs w:val="28"/>
        </w:rPr>
      </w:pPr>
    </w:p>
    <w:p w:rsidR="00B5242E" w:rsidRPr="002018B4" w:rsidRDefault="00B5242E" w:rsidP="00B5242E">
      <w:pPr>
        <w:spacing w:after="120" w:line="360" w:lineRule="auto"/>
        <w:jc w:val="both"/>
        <w:rPr>
          <w:rFonts w:ascii="Times New Roman" w:hAnsi="Times New Roman" w:cs="Times New Roman"/>
          <w:sz w:val="24"/>
          <w:szCs w:val="28"/>
          <w:lang w:val="id-ID"/>
        </w:rPr>
      </w:pPr>
      <w:r w:rsidRPr="00B5242E">
        <w:rPr>
          <w:rFonts w:ascii="Times New Roman" w:hAnsi="Times New Roman" w:cs="Times New Roman"/>
          <w:b/>
          <w:sz w:val="24"/>
          <w:szCs w:val="28"/>
        </w:rPr>
        <w:t xml:space="preserve">Mataram (Inside Lombok) – </w:t>
      </w:r>
      <w:r w:rsidRPr="00B5242E">
        <w:rPr>
          <w:rFonts w:ascii="Times New Roman" w:hAnsi="Times New Roman" w:cs="Times New Roman"/>
          <w:sz w:val="24"/>
          <w:szCs w:val="28"/>
        </w:rPr>
        <w:t xml:space="preserve">Kejaksaan Negeri Mataram, Nusa Tenggara Barat, menyelidiki dugaan penyelewengan </w:t>
      </w:r>
      <w:proofErr w:type="gramStart"/>
      <w:r w:rsidRPr="00B5242E">
        <w:rPr>
          <w:rFonts w:ascii="Times New Roman" w:hAnsi="Times New Roman" w:cs="Times New Roman"/>
          <w:sz w:val="24"/>
          <w:szCs w:val="28"/>
        </w:rPr>
        <w:t>dana</w:t>
      </w:r>
      <w:proofErr w:type="gramEnd"/>
      <w:r w:rsidRPr="00B5242E">
        <w:rPr>
          <w:rFonts w:ascii="Times New Roman" w:hAnsi="Times New Roman" w:cs="Times New Roman"/>
          <w:sz w:val="24"/>
          <w:szCs w:val="28"/>
        </w:rPr>
        <w:t xml:space="preserve"> Desa </w:t>
      </w:r>
      <w:proofErr w:type="spellStart"/>
      <w:r w:rsidRPr="00B5242E">
        <w:rPr>
          <w:rFonts w:ascii="Times New Roman" w:hAnsi="Times New Roman" w:cs="Times New Roman"/>
          <w:sz w:val="24"/>
          <w:szCs w:val="28"/>
        </w:rPr>
        <w:t>Se</w:t>
      </w:r>
      <w:r>
        <w:rPr>
          <w:rFonts w:ascii="Times New Roman" w:hAnsi="Times New Roman" w:cs="Times New Roman"/>
          <w:sz w:val="24"/>
          <w:szCs w:val="28"/>
        </w:rPr>
        <w:t>sait</w:t>
      </w:r>
      <w:proofErr w:type="spellEnd"/>
      <w:r>
        <w:rPr>
          <w:rFonts w:ascii="Times New Roman" w:hAnsi="Times New Roman" w:cs="Times New Roman"/>
          <w:sz w:val="24"/>
          <w:szCs w:val="28"/>
        </w:rPr>
        <w:t xml:space="preserve"> untuk tahun anggaran 2019.</w:t>
      </w:r>
      <w:r>
        <w:rPr>
          <w:rFonts w:ascii="Times New Roman" w:hAnsi="Times New Roman" w:cs="Times New Roman"/>
          <w:sz w:val="24"/>
          <w:szCs w:val="28"/>
          <w:lang w:val="id-ID"/>
        </w:rPr>
        <w:t xml:space="preserve"> </w:t>
      </w:r>
      <w:proofErr w:type="spellStart"/>
      <w:r w:rsidRPr="00B5242E">
        <w:rPr>
          <w:rFonts w:ascii="Times New Roman" w:hAnsi="Times New Roman" w:cs="Times New Roman"/>
          <w:sz w:val="24"/>
          <w:szCs w:val="28"/>
        </w:rPr>
        <w:t>Kajari</w:t>
      </w:r>
      <w:proofErr w:type="spellEnd"/>
      <w:r w:rsidRPr="00B5242E">
        <w:rPr>
          <w:rFonts w:ascii="Times New Roman" w:hAnsi="Times New Roman" w:cs="Times New Roman"/>
          <w:sz w:val="24"/>
          <w:szCs w:val="28"/>
        </w:rPr>
        <w:t xml:space="preserve"> Mataram Yusuf yang dikonfirmasi di Mataram, Senin, membenarkan bahwa kasusnya sedang diselidiki di bawah pen</w:t>
      </w:r>
      <w:r>
        <w:rPr>
          <w:rFonts w:ascii="Times New Roman" w:hAnsi="Times New Roman" w:cs="Times New Roman"/>
          <w:sz w:val="24"/>
          <w:szCs w:val="28"/>
        </w:rPr>
        <w:t>anganan pidana khusus (</w:t>
      </w:r>
      <w:proofErr w:type="spellStart"/>
      <w:r>
        <w:rPr>
          <w:rFonts w:ascii="Times New Roman" w:hAnsi="Times New Roman" w:cs="Times New Roman"/>
          <w:sz w:val="24"/>
          <w:szCs w:val="28"/>
        </w:rPr>
        <w:t>pidsus</w:t>
      </w:r>
      <w:proofErr w:type="spellEnd"/>
      <w:r>
        <w:rPr>
          <w:rFonts w:ascii="Times New Roman" w:hAnsi="Times New Roman" w:cs="Times New Roman"/>
          <w:sz w:val="24"/>
          <w:szCs w:val="28"/>
        </w:rPr>
        <w:t>).</w:t>
      </w:r>
      <w:r>
        <w:rPr>
          <w:rFonts w:ascii="Times New Roman" w:hAnsi="Times New Roman" w:cs="Times New Roman"/>
          <w:sz w:val="24"/>
          <w:szCs w:val="28"/>
          <w:lang w:val="id-ID"/>
        </w:rPr>
        <w:t xml:space="preserve"> </w:t>
      </w:r>
      <w:r w:rsidRPr="002018B4">
        <w:rPr>
          <w:rFonts w:ascii="Times New Roman" w:hAnsi="Times New Roman" w:cs="Times New Roman"/>
          <w:sz w:val="24"/>
          <w:szCs w:val="28"/>
          <w:lang w:val="id-ID"/>
        </w:rPr>
        <w:t>“Iya kasusnya baru penyelidikan,” kata Yusuf.</w:t>
      </w:r>
    </w:p>
    <w:p w:rsidR="00B5242E" w:rsidRPr="002018B4" w:rsidRDefault="00B5242E" w:rsidP="00B5242E">
      <w:pPr>
        <w:spacing w:after="120" w:line="360" w:lineRule="auto"/>
        <w:jc w:val="both"/>
        <w:rPr>
          <w:rFonts w:ascii="Times New Roman" w:hAnsi="Times New Roman" w:cs="Times New Roman"/>
          <w:sz w:val="24"/>
          <w:szCs w:val="28"/>
          <w:lang w:val="id-ID"/>
        </w:rPr>
      </w:pPr>
      <w:r w:rsidRPr="002018B4">
        <w:rPr>
          <w:rFonts w:ascii="Times New Roman" w:hAnsi="Times New Roman" w:cs="Times New Roman"/>
          <w:sz w:val="24"/>
          <w:szCs w:val="28"/>
          <w:lang w:val="id-ID"/>
        </w:rPr>
        <w:t>Yusuf mengatakan hal itu ketika dikonfirmasi terkait adanya permintaan keterangan sejumlah pihak yang mengetahui dan terlibat dalam pengelolaan dana desa tersebut.</w:t>
      </w:r>
      <w:r>
        <w:rPr>
          <w:rFonts w:ascii="Times New Roman" w:hAnsi="Times New Roman" w:cs="Times New Roman"/>
          <w:sz w:val="24"/>
          <w:szCs w:val="28"/>
          <w:lang w:val="id-ID"/>
        </w:rPr>
        <w:t xml:space="preserve"> </w:t>
      </w:r>
      <w:r w:rsidRPr="002018B4">
        <w:rPr>
          <w:rFonts w:ascii="Times New Roman" w:hAnsi="Times New Roman" w:cs="Times New Roman"/>
          <w:sz w:val="24"/>
          <w:szCs w:val="28"/>
          <w:lang w:val="id-ID"/>
        </w:rPr>
        <w:t>“Iya tadi ada yang dimintai klarifikasi. Itu dari jaksa pidsus yang laksanakan,” ujarnya.</w:t>
      </w:r>
    </w:p>
    <w:p w:rsidR="00B5242E" w:rsidRP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t xml:space="preserve">Dia mengemukakan bahwa sejumlah orang yang dimintai keterangan terkait dugaan penyelewengan </w:t>
      </w:r>
      <w:proofErr w:type="gramStart"/>
      <w:r w:rsidRPr="00B5242E">
        <w:rPr>
          <w:rFonts w:ascii="Times New Roman" w:hAnsi="Times New Roman" w:cs="Times New Roman"/>
          <w:sz w:val="24"/>
          <w:szCs w:val="28"/>
        </w:rPr>
        <w:t>dana</w:t>
      </w:r>
      <w:proofErr w:type="gramEnd"/>
      <w:r w:rsidRPr="00B5242E">
        <w:rPr>
          <w:rFonts w:ascii="Times New Roman" w:hAnsi="Times New Roman" w:cs="Times New Roman"/>
          <w:sz w:val="24"/>
          <w:szCs w:val="28"/>
        </w:rPr>
        <w:t xml:space="preserve"> desa ini merupakan mantan pejabat desa dan staf yang masih aktif bertugas.</w:t>
      </w:r>
    </w:p>
    <w:p w:rsidR="00B5242E" w:rsidRP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t xml:space="preserve">Mereka adalah Sekdes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yang menjabat tahun 2019 Dedi </w:t>
      </w:r>
      <w:proofErr w:type="spellStart"/>
      <w:r w:rsidRPr="00B5242E">
        <w:rPr>
          <w:rFonts w:ascii="Times New Roman" w:hAnsi="Times New Roman" w:cs="Times New Roman"/>
          <w:sz w:val="24"/>
          <w:szCs w:val="28"/>
        </w:rPr>
        <w:t>Supriyadi</w:t>
      </w:r>
      <w:proofErr w:type="spellEnd"/>
      <w:r w:rsidRPr="00B5242E">
        <w:rPr>
          <w:rFonts w:ascii="Times New Roman" w:hAnsi="Times New Roman" w:cs="Times New Roman"/>
          <w:sz w:val="24"/>
          <w:szCs w:val="28"/>
        </w:rPr>
        <w:t xml:space="preserve">, mantan Kades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w:t>
      </w:r>
      <w:proofErr w:type="spellStart"/>
      <w:r w:rsidRPr="00B5242E">
        <w:rPr>
          <w:rFonts w:ascii="Times New Roman" w:hAnsi="Times New Roman" w:cs="Times New Roman"/>
          <w:sz w:val="24"/>
          <w:szCs w:val="28"/>
        </w:rPr>
        <w:t>Aerman</w:t>
      </w:r>
      <w:proofErr w:type="spellEnd"/>
      <w:r w:rsidRPr="00B5242E">
        <w:rPr>
          <w:rFonts w:ascii="Times New Roman" w:hAnsi="Times New Roman" w:cs="Times New Roman"/>
          <w:sz w:val="24"/>
          <w:szCs w:val="28"/>
        </w:rPr>
        <w:t xml:space="preserve">, mantan Kasi </w:t>
      </w:r>
      <w:proofErr w:type="spellStart"/>
      <w:r w:rsidRPr="00B5242E">
        <w:rPr>
          <w:rFonts w:ascii="Times New Roman" w:hAnsi="Times New Roman" w:cs="Times New Roman"/>
          <w:sz w:val="24"/>
          <w:szCs w:val="28"/>
        </w:rPr>
        <w:t>Kesra</w:t>
      </w:r>
      <w:proofErr w:type="spellEnd"/>
      <w:r w:rsidRPr="00B5242E">
        <w:rPr>
          <w:rFonts w:ascii="Times New Roman" w:hAnsi="Times New Roman" w:cs="Times New Roman"/>
          <w:sz w:val="24"/>
          <w:szCs w:val="28"/>
        </w:rPr>
        <w:t xml:space="preserve">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Abdurrahman, dan Bendahara Desa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tahun 2019 Mustafa Kamal.</w:t>
      </w:r>
    </w:p>
    <w:p w:rsidR="00B5242E" w:rsidRP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t xml:space="preserve">Terkait dengan hal tersebut, Yusuf menegaskan bahwa proses ini masih tahap awal penyelidikan. Jaksa </w:t>
      </w:r>
      <w:proofErr w:type="spellStart"/>
      <w:r w:rsidRPr="00B5242E">
        <w:rPr>
          <w:rFonts w:ascii="Times New Roman" w:hAnsi="Times New Roman" w:cs="Times New Roman"/>
          <w:sz w:val="24"/>
          <w:szCs w:val="28"/>
        </w:rPr>
        <w:t>pidsus</w:t>
      </w:r>
      <w:proofErr w:type="spellEnd"/>
      <w:r w:rsidRPr="00B5242E">
        <w:rPr>
          <w:rFonts w:ascii="Times New Roman" w:hAnsi="Times New Roman" w:cs="Times New Roman"/>
          <w:sz w:val="24"/>
          <w:szCs w:val="28"/>
        </w:rPr>
        <w:t xml:space="preserve"> masih berkutat pada pengumpulan bah</w:t>
      </w:r>
      <w:r>
        <w:rPr>
          <w:rFonts w:ascii="Times New Roman" w:hAnsi="Times New Roman" w:cs="Times New Roman"/>
          <w:sz w:val="24"/>
          <w:szCs w:val="28"/>
        </w:rPr>
        <w:t>an keterangan dan dokumen desa.</w:t>
      </w:r>
      <w:r>
        <w:rPr>
          <w:rFonts w:ascii="Times New Roman" w:hAnsi="Times New Roman" w:cs="Times New Roman"/>
          <w:sz w:val="24"/>
          <w:szCs w:val="28"/>
          <w:lang w:val="id-ID"/>
        </w:rPr>
        <w:t xml:space="preserve"> </w:t>
      </w:r>
      <w:r w:rsidRPr="00B5242E">
        <w:rPr>
          <w:rFonts w:ascii="Times New Roman" w:hAnsi="Times New Roman" w:cs="Times New Roman"/>
          <w:sz w:val="24"/>
          <w:szCs w:val="28"/>
        </w:rPr>
        <w:t>“Masih proses, ini masih awal, nanti akan ada ekspose perkara, kita tunggu saja,” ucapnya.</w:t>
      </w:r>
    </w:p>
    <w:p w:rsidR="00B5242E" w:rsidRP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t xml:space="preserve">Kasus ini mencuat berdasarkan temuan Inspektorat Lombok Utara bahwa Desa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tidak memiliki laporan </w:t>
      </w:r>
      <w:r>
        <w:rPr>
          <w:rFonts w:ascii="Times New Roman" w:hAnsi="Times New Roman" w:cs="Times New Roman"/>
          <w:sz w:val="24"/>
          <w:szCs w:val="28"/>
        </w:rPr>
        <w:t xml:space="preserve">pertanggungjawaban </w:t>
      </w:r>
      <w:proofErr w:type="spellStart"/>
      <w:r>
        <w:rPr>
          <w:rFonts w:ascii="Times New Roman" w:hAnsi="Times New Roman" w:cs="Times New Roman"/>
          <w:sz w:val="24"/>
          <w:szCs w:val="28"/>
        </w:rPr>
        <w:t>APBDes</w:t>
      </w:r>
      <w:proofErr w:type="spellEnd"/>
      <w:r>
        <w:rPr>
          <w:rFonts w:ascii="Times New Roman" w:hAnsi="Times New Roman" w:cs="Times New Roman"/>
          <w:sz w:val="24"/>
          <w:szCs w:val="28"/>
        </w:rPr>
        <w:t xml:space="preserve"> 2019.</w:t>
      </w:r>
      <w:r>
        <w:rPr>
          <w:rFonts w:ascii="Times New Roman" w:hAnsi="Times New Roman" w:cs="Times New Roman"/>
          <w:sz w:val="24"/>
          <w:szCs w:val="28"/>
          <w:lang w:val="id-ID"/>
        </w:rPr>
        <w:t xml:space="preserve"> </w:t>
      </w:r>
      <w:r w:rsidRPr="00B5242E">
        <w:rPr>
          <w:rFonts w:ascii="Times New Roman" w:hAnsi="Times New Roman" w:cs="Times New Roman"/>
          <w:sz w:val="24"/>
          <w:szCs w:val="28"/>
        </w:rPr>
        <w:t xml:space="preserve">Begitu juga dengan berkas pelaksanaan pembangunan desa untuk tahun 2019, pejabat setempat tidak </w:t>
      </w:r>
      <w:proofErr w:type="spellStart"/>
      <w:r w:rsidRPr="00B5242E">
        <w:rPr>
          <w:rFonts w:ascii="Times New Roman" w:hAnsi="Times New Roman" w:cs="Times New Roman"/>
          <w:sz w:val="24"/>
          <w:szCs w:val="28"/>
        </w:rPr>
        <w:t>mencantumkannya</w:t>
      </w:r>
      <w:proofErr w:type="spellEnd"/>
      <w:r w:rsidRPr="00B5242E">
        <w:rPr>
          <w:rFonts w:ascii="Times New Roman" w:hAnsi="Times New Roman" w:cs="Times New Roman"/>
          <w:sz w:val="24"/>
          <w:szCs w:val="28"/>
        </w:rPr>
        <w:t xml:space="preserve"> dalam sistem keuangan desa </w:t>
      </w:r>
      <w:bookmarkStart w:id="0" w:name="_GoBack"/>
      <w:bookmarkEnd w:id="0"/>
      <w:r w:rsidRPr="00B5242E">
        <w:rPr>
          <w:rFonts w:ascii="Times New Roman" w:hAnsi="Times New Roman" w:cs="Times New Roman"/>
          <w:sz w:val="24"/>
          <w:szCs w:val="28"/>
        </w:rPr>
        <w:t>(</w:t>
      </w:r>
      <w:proofErr w:type="spellStart"/>
      <w:r w:rsidRPr="00B5242E">
        <w:rPr>
          <w:rFonts w:ascii="Times New Roman" w:hAnsi="Times New Roman" w:cs="Times New Roman"/>
          <w:sz w:val="24"/>
          <w:szCs w:val="28"/>
        </w:rPr>
        <w:t>Siskeudes</w:t>
      </w:r>
      <w:proofErr w:type="spellEnd"/>
      <w:r w:rsidRPr="00B5242E">
        <w:rPr>
          <w:rFonts w:ascii="Times New Roman" w:hAnsi="Times New Roman" w:cs="Times New Roman"/>
          <w:sz w:val="24"/>
          <w:szCs w:val="28"/>
        </w:rPr>
        <w:t>).</w:t>
      </w:r>
    </w:p>
    <w:p w:rsidR="00B5242E" w:rsidRP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lastRenderedPageBreak/>
        <w:t xml:space="preserve">Akibat dari adanya temuan tersebut, </w:t>
      </w:r>
      <w:proofErr w:type="gramStart"/>
      <w:r w:rsidRPr="00B5242E">
        <w:rPr>
          <w:rFonts w:ascii="Times New Roman" w:hAnsi="Times New Roman" w:cs="Times New Roman"/>
          <w:sz w:val="24"/>
          <w:szCs w:val="28"/>
        </w:rPr>
        <w:t>dana</w:t>
      </w:r>
      <w:proofErr w:type="gramEnd"/>
      <w:r w:rsidRPr="00B5242E">
        <w:rPr>
          <w:rFonts w:ascii="Times New Roman" w:hAnsi="Times New Roman" w:cs="Times New Roman"/>
          <w:sz w:val="24"/>
          <w:szCs w:val="28"/>
        </w:rPr>
        <w:t xml:space="preserve"> Desa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untuk tahun anggaran 2020 tidak dapat dicairkan dan program pembangunan desa yang masuk dalam wilayah Kecamatan Kayangan, Kabupaten Lombok Utara tersebut terhambat.</w:t>
      </w:r>
    </w:p>
    <w:p w:rsidR="00B5242E" w:rsidRDefault="00B5242E" w:rsidP="00B5242E">
      <w:pPr>
        <w:spacing w:after="120" w:line="360" w:lineRule="auto"/>
        <w:jc w:val="both"/>
        <w:rPr>
          <w:rFonts w:ascii="Times New Roman" w:hAnsi="Times New Roman" w:cs="Times New Roman"/>
          <w:sz w:val="24"/>
          <w:szCs w:val="28"/>
        </w:rPr>
      </w:pPr>
      <w:r w:rsidRPr="00B5242E">
        <w:rPr>
          <w:rFonts w:ascii="Times New Roman" w:hAnsi="Times New Roman" w:cs="Times New Roman"/>
          <w:sz w:val="24"/>
          <w:szCs w:val="28"/>
        </w:rPr>
        <w:t xml:space="preserve">Pada 2019, Desa </w:t>
      </w:r>
      <w:proofErr w:type="spellStart"/>
      <w:r w:rsidRPr="00B5242E">
        <w:rPr>
          <w:rFonts w:ascii="Times New Roman" w:hAnsi="Times New Roman" w:cs="Times New Roman"/>
          <w:sz w:val="24"/>
          <w:szCs w:val="28"/>
        </w:rPr>
        <w:t>Sesait</w:t>
      </w:r>
      <w:proofErr w:type="spellEnd"/>
      <w:r w:rsidRPr="00B5242E">
        <w:rPr>
          <w:rFonts w:ascii="Times New Roman" w:hAnsi="Times New Roman" w:cs="Times New Roman"/>
          <w:sz w:val="24"/>
          <w:szCs w:val="28"/>
        </w:rPr>
        <w:t xml:space="preserve"> mengelola dana desa sebesar Rp2</w:t>
      </w:r>
      <w:proofErr w:type="gramStart"/>
      <w:r w:rsidRPr="00B5242E">
        <w:rPr>
          <w:rFonts w:ascii="Times New Roman" w:hAnsi="Times New Roman" w:cs="Times New Roman"/>
          <w:sz w:val="24"/>
          <w:szCs w:val="28"/>
        </w:rPr>
        <w:t>,45</w:t>
      </w:r>
      <w:proofErr w:type="gramEnd"/>
      <w:r w:rsidRPr="00B5242E">
        <w:rPr>
          <w:rFonts w:ascii="Times New Roman" w:hAnsi="Times New Roman" w:cs="Times New Roman"/>
          <w:sz w:val="24"/>
          <w:szCs w:val="28"/>
        </w:rPr>
        <w:t xml:space="preserve"> miliar. Untuk alokasi dana desa (ADD) sebesar Rp1</w:t>
      </w:r>
      <w:proofErr w:type="gramStart"/>
      <w:r w:rsidRPr="00B5242E">
        <w:rPr>
          <w:rFonts w:ascii="Times New Roman" w:hAnsi="Times New Roman" w:cs="Times New Roman"/>
          <w:sz w:val="24"/>
          <w:szCs w:val="28"/>
        </w:rPr>
        <w:t>,433</w:t>
      </w:r>
      <w:proofErr w:type="gramEnd"/>
      <w:r w:rsidRPr="00B5242E">
        <w:rPr>
          <w:rFonts w:ascii="Times New Roman" w:hAnsi="Times New Roman" w:cs="Times New Roman"/>
          <w:sz w:val="24"/>
          <w:szCs w:val="28"/>
        </w:rPr>
        <w:t xml:space="preserve"> miliar, dan dana bagi hasil pajak dan retribusi daerah</w:t>
      </w:r>
      <w:r>
        <w:rPr>
          <w:rFonts w:ascii="Times New Roman" w:hAnsi="Times New Roman" w:cs="Times New Roman"/>
          <w:sz w:val="24"/>
          <w:szCs w:val="28"/>
        </w:rPr>
        <w:t xml:space="preserve"> (BHPRD) sebesar Rp235,15 juta.</w:t>
      </w:r>
      <w:r>
        <w:rPr>
          <w:rFonts w:ascii="Times New Roman" w:hAnsi="Times New Roman" w:cs="Times New Roman"/>
          <w:sz w:val="24"/>
          <w:szCs w:val="28"/>
          <w:lang w:val="id-ID"/>
        </w:rPr>
        <w:t xml:space="preserve"> </w:t>
      </w:r>
      <w:r w:rsidRPr="00B5242E">
        <w:rPr>
          <w:rFonts w:ascii="Times New Roman" w:hAnsi="Times New Roman" w:cs="Times New Roman"/>
          <w:sz w:val="24"/>
          <w:szCs w:val="28"/>
        </w:rPr>
        <w:t xml:space="preserve">Dalam realisasi anggarannya pada 2019, ada beberapa catatan, di antaranya proyek widen </w:t>
      </w:r>
      <w:proofErr w:type="spellStart"/>
      <w:r w:rsidRPr="00B5242E">
        <w:rPr>
          <w:rFonts w:ascii="Times New Roman" w:hAnsi="Times New Roman" w:cs="Times New Roman"/>
          <w:sz w:val="24"/>
          <w:szCs w:val="28"/>
        </w:rPr>
        <w:t>peresean</w:t>
      </w:r>
      <w:proofErr w:type="spellEnd"/>
      <w:r w:rsidRPr="00B5242E">
        <w:rPr>
          <w:rFonts w:ascii="Times New Roman" w:hAnsi="Times New Roman" w:cs="Times New Roman"/>
          <w:sz w:val="24"/>
          <w:szCs w:val="28"/>
        </w:rPr>
        <w:t xml:space="preserve"> yang menghabiskan anggaran senilai Rp640 juta, proyek pembukaan jalan baru senilai Rp420 juta, dan pembenahan </w:t>
      </w:r>
      <w:proofErr w:type="spellStart"/>
      <w:r w:rsidRPr="00B5242E">
        <w:rPr>
          <w:rFonts w:ascii="Times New Roman" w:hAnsi="Times New Roman" w:cs="Times New Roman"/>
          <w:sz w:val="24"/>
          <w:szCs w:val="28"/>
        </w:rPr>
        <w:t>polindes</w:t>
      </w:r>
      <w:proofErr w:type="spellEnd"/>
      <w:r w:rsidRPr="00B5242E">
        <w:rPr>
          <w:rFonts w:ascii="Times New Roman" w:hAnsi="Times New Roman" w:cs="Times New Roman"/>
          <w:sz w:val="24"/>
          <w:szCs w:val="28"/>
        </w:rPr>
        <w:t>. (Ant)</w:t>
      </w:r>
    </w:p>
    <w:p w:rsidR="00AE1EFC" w:rsidRDefault="00AE1EFC" w:rsidP="00B5242E">
      <w:pPr>
        <w:spacing w:after="120" w:line="360" w:lineRule="auto"/>
        <w:jc w:val="both"/>
        <w:rPr>
          <w:rFonts w:ascii="Times New Roman" w:hAnsi="Times New Roman" w:cs="Times New Roman"/>
          <w:b/>
          <w:sz w:val="24"/>
          <w:szCs w:val="28"/>
          <w:lang w:val="id-ID"/>
        </w:rPr>
      </w:pPr>
    </w:p>
    <w:p w:rsidR="00AE1EFC" w:rsidRPr="00AE1EFC" w:rsidRDefault="00AE1EFC" w:rsidP="00B5242E">
      <w:pPr>
        <w:spacing w:after="120" w:line="360" w:lineRule="auto"/>
        <w:jc w:val="both"/>
        <w:rPr>
          <w:rFonts w:ascii="Times New Roman" w:hAnsi="Times New Roman" w:cs="Times New Roman"/>
          <w:b/>
          <w:sz w:val="24"/>
          <w:szCs w:val="28"/>
          <w:lang w:val="id-ID"/>
        </w:rPr>
      </w:pPr>
      <w:r w:rsidRPr="00AE1EFC">
        <w:rPr>
          <w:rFonts w:ascii="Times New Roman" w:hAnsi="Times New Roman" w:cs="Times New Roman"/>
          <w:b/>
          <w:sz w:val="24"/>
          <w:szCs w:val="28"/>
          <w:lang w:val="id-ID"/>
        </w:rPr>
        <w:t>Sumber Berita:</w:t>
      </w:r>
    </w:p>
    <w:p w:rsidR="00AE1EFC" w:rsidRPr="00AE1EFC" w:rsidRDefault="006C6588" w:rsidP="00AE1EFC">
      <w:pPr>
        <w:pStyle w:val="ListParagraph"/>
        <w:numPr>
          <w:ilvl w:val="0"/>
          <w:numId w:val="1"/>
        </w:numPr>
        <w:spacing w:after="120" w:line="360" w:lineRule="auto"/>
        <w:ind w:left="360"/>
        <w:jc w:val="both"/>
        <w:rPr>
          <w:rFonts w:ascii="Times New Roman" w:hAnsi="Times New Roman" w:cs="Times New Roman"/>
          <w:sz w:val="24"/>
          <w:szCs w:val="28"/>
          <w:lang w:val="id-ID"/>
        </w:rPr>
      </w:pPr>
      <w:hyperlink r:id="rId8" w:history="1">
        <w:r w:rsidR="00AE1EFC">
          <w:rPr>
            <w:rStyle w:val="Hyperlink"/>
          </w:rPr>
          <w:t>https://insidelombok.id/berita-utama/kejari-mataram-selidiki-dugaan-penyelewengan-dana-desa-sesait/</w:t>
        </w:r>
      </w:hyperlink>
      <w:r w:rsidR="000C2FAE">
        <w:rPr>
          <w:rStyle w:val="Hyperlink"/>
          <w:lang w:val="id-ID"/>
        </w:rPr>
        <w:t xml:space="preserve"> (22 Juni 2020)</w:t>
      </w:r>
    </w:p>
    <w:p w:rsidR="00AE1EFC" w:rsidRPr="00AE1EFC" w:rsidRDefault="006C6588" w:rsidP="00AE1EFC">
      <w:pPr>
        <w:pStyle w:val="ListParagraph"/>
        <w:numPr>
          <w:ilvl w:val="0"/>
          <w:numId w:val="1"/>
        </w:numPr>
        <w:spacing w:after="120" w:line="360" w:lineRule="auto"/>
        <w:ind w:left="360"/>
        <w:jc w:val="both"/>
        <w:rPr>
          <w:rFonts w:ascii="Times New Roman" w:hAnsi="Times New Roman" w:cs="Times New Roman"/>
          <w:sz w:val="24"/>
          <w:szCs w:val="28"/>
          <w:lang w:val="id-ID"/>
        </w:rPr>
      </w:pPr>
      <w:hyperlink r:id="rId9" w:history="1">
        <w:r w:rsidR="00AE1EFC">
          <w:rPr>
            <w:rStyle w:val="Hyperlink"/>
          </w:rPr>
          <w:t>https://lombokpost.jawapos.com/tanjung/24/06/2020/dugaan-korupsi-dana-desa-sesait-jaksa-klarifikasi-sejumlah-saksi/</w:t>
        </w:r>
      </w:hyperlink>
      <w:r w:rsidR="000C2FAE">
        <w:rPr>
          <w:rStyle w:val="Hyperlink"/>
          <w:lang w:val="id-ID"/>
        </w:rPr>
        <w:t xml:space="preserve"> (24 Juni 2020)</w:t>
      </w:r>
    </w:p>
    <w:p w:rsidR="00B5242E" w:rsidRDefault="00B5242E" w:rsidP="00B5242E">
      <w:pPr>
        <w:spacing w:after="120" w:line="360" w:lineRule="auto"/>
        <w:jc w:val="both"/>
        <w:rPr>
          <w:rFonts w:ascii="Times New Roman" w:hAnsi="Times New Roman" w:cs="Times New Roman"/>
          <w:b/>
          <w:sz w:val="24"/>
          <w:szCs w:val="28"/>
        </w:rPr>
      </w:pPr>
    </w:p>
    <w:p w:rsidR="00AE1EFC" w:rsidRDefault="00EA7928" w:rsidP="00B5242E">
      <w:pPr>
        <w:spacing w:after="120" w:line="360" w:lineRule="auto"/>
        <w:jc w:val="both"/>
        <w:rPr>
          <w:rFonts w:ascii="Times New Roman" w:hAnsi="Times New Roman" w:cs="Times New Roman"/>
          <w:b/>
          <w:sz w:val="24"/>
          <w:szCs w:val="28"/>
          <w:lang w:val="id-ID"/>
        </w:rPr>
      </w:pPr>
      <w:r>
        <w:rPr>
          <w:rFonts w:ascii="Times New Roman" w:hAnsi="Times New Roman" w:cs="Times New Roman"/>
          <w:b/>
          <w:sz w:val="24"/>
          <w:szCs w:val="28"/>
          <w:lang w:val="id-ID"/>
        </w:rPr>
        <w:t>Catatan:</w:t>
      </w:r>
    </w:p>
    <w:p w:rsidR="00EA7928" w:rsidRDefault="00EA7928" w:rsidP="00EA7928">
      <w:p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w:t>
      </w:r>
      <w:r w:rsidRPr="00EA7928">
        <w:rPr>
          <w:rFonts w:ascii="Times New Roman" w:hAnsi="Times New Roman" w:cs="Times New Roman"/>
          <w:sz w:val="24"/>
          <w:szCs w:val="28"/>
        </w:rPr>
        <w:t>Menteri</w:t>
      </w:r>
      <w:r>
        <w:rPr>
          <w:rFonts w:ascii="Times New Roman" w:hAnsi="Times New Roman" w:cs="Times New Roman"/>
          <w:sz w:val="24"/>
          <w:szCs w:val="24"/>
          <w:lang w:val="id-ID"/>
        </w:rPr>
        <w:t xml:space="preserve"> Keuangan Nomor 40/PMK.07/2020 tentang Perubahan atas Peraturan Menteri Keuangan Nomor 205/PMK.07/2019 tentang Pengelolaan Dana Desa:</w:t>
      </w:r>
    </w:p>
    <w:p w:rsidR="00EA7928" w:rsidRDefault="00EA7928" w:rsidP="00EA7928">
      <w:pPr>
        <w:pStyle w:val="ListParagraph"/>
        <w:numPr>
          <w:ilvl w:val="0"/>
          <w:numId w:val="2"/>
        </w:numPr>
        <w:spacing w:after="120" w:line="360" w:lineRule="auto"/>
        <w:ind w:left="284"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Transfer ke Daerah dan Dana Desa yang selanjutnya disingkat TKDD adalah bagian dari Belanja Negara yang dialokasikan dalam Anggaran Pendapatan dan Belanja Negara kepada Daerah dan Desa dalam rangka mendanai pelaksanaan urusan yang telah diserahkan kepada Daerah dan Desa (Pasal angka 1).</w:t>
      </w:r>
    </w:p>
    <w:p w:rsidR="00EA7928" w:rsidRDefault="00EA7928" w:rsidP="00EA7928">
      <w:pPr>
        <w:pStyle w:val="ListParagraph"/>
        <w:numPr>
          <w:ilvl w:val="0"/>
          <w:numId w:val="2"/>
        </w:numPr>
        <w:spacing w:after="120" w:line="360" w:lineRule="auto"/>
        <w:ind w:left="284"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Dana Desa (DD) adalah dana yang bersumber dari APBN yang diperuntukkan bagi Desa yang ditransfer melalui APBD kabupaten/kota dan digunakan untuk membiayai penyelenggaraan pemerintahan, pelaksanaan pembangunan, pembinaan kemasyarakatan, dan pemberdayaan masyarakat (Pasal 1 angka 8).</w:t>
      </w:r>
    </w:p>
    <w:p w:rsidR="00EA7928" w:rsidRDefault="00EA7928" w:rsidP="00EA7928">
      <w:pPr>
        <w:pStyle w:val="ListParagraph"/>
        <w:numPr>
          <w:ilvl w:val="0"/>
          <w:numId w:val="2"/>
        </w:numPr>
        <w:spacing w:after="120" w:line="360" w:lineRule="auto"/>
        <w:ind w:left="284"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Bantuan Langsung Tunai Desa yang selanjutnya disingkat BLT Desa adalah pemberian uang tunai kepada keluarga miskin atau tidak mampu di Desa yang bersumber dari Dana Desa untuk mengurangi dampak ekonomi akibat pandemi </w:t>
      </w:r>
      <w:r w:rsidRPr="008C7ED6">
        <w:rPr>
          <w:rFonts w:ascii="Times New Roman" w:hAnsi="Times New Roman" w:cs="Times New Roman"/>
          <w:i/>
          <w:sz w:val="24"/>
          <w:szCs w:val="24"/>
          <w:lang w:val="id-ID"/>
        </w:rPr>
        <w:t>Corona Virus Disease</w:t>
      </w:r>
      <w:r>
        <w:rPr>
          <w:rFonts w:ascii="Times New Roman" w:hAnsi="Times New Roman" w:cs="Times New Roman"/>
          <w:sz w:val="24"/>
          <w:szCs w:val="24"/>
          <w:lang w:val="id-ID"/>
        </w:rPr>
        <w:t xml:space="preserve"> 2019 (</w:t>
      </w:r>
      <w:r w:rsidRPr="008C7ED6">
        <w:rPr>
          <w:rFonts w:ascii="Times New Roman" w:hAnsi="Times New Roman" w:cs="Times New Roman"/>
          <w:i/>
          <w:sz w:val="24"/>
          <w:szCs w:val="24"/>
          <w:lang w:val="id-ID"/>
        </w:rPr>
        <w:t>COVID</w:t>
      </w:r>
      <w:r>
        <w:rPr>
          <w:rFonts w:ascii="Times New Roman" w:hAnsi="Times New Roman" w:cs="Times New Roman"/>
          <w:sz w:val="24"/>
          <w:szCs w:val="24"/>
          <w:lang w:val="id-ID"/>
        </w:rPr>
        <w:t>-19) (Pasal 1 angka 30)</w:t>
      </w:r>
    </w:p>
    <w:p w:rsidR="00EA7928" w:rsidRDefault="00EA7928" w:rsidP="00EA7928">
      <w:pPr>
        <w:pStyle w:val="ListParagraph"/>
        <w:numPr>
          <w:ilvl w:val="0"/>
          <w:numId w:val="2"/>
        </w:numPr>
        <w:spacing w:after="120" w:line="360" w:lineRule="auto"/>
        <w:ind w:left="284"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Tahapan dan persyaratan penyaluran (BAB V Bagian Kedua):</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DD disalurkan dari RKUN ke RKD melalui RKUD (Pasal 23 ayat (1));</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Penyaluran DD dilakukan melalui pemotongan DD setiap Daerah kabupaten/kota dan penyaluran dana hasil pemotongan DD ke RKD (Pasal 23 ayat (2));</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Pemotongan DD setiap Daerah kabupaten/kota dan penyaluran dana hasil pemotongan DD ke RKD dilaksanakan berdasarkan surat kuasa pemindahbukuan DD dari bupati/wali kota (Pasal 23 ayat (3));</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Penyaluran DD dilaksanakan dalam 3 (tiga) tahap, dengan ketentuan (Pasal 23 ayat (4)):</w:t>
      </w:r>
    </w:p>
    <w:p w:rsidR="00EA7928" w:rsidRDefault="00EA7928" w:rsidP="00EA7928">
      <w:pPr>
        <w:pStyle w:val="ListParagraph"/>
        <w:numPr>
          <w:ilvl w:val="0"/>
          <w:numId w:val="4"/>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 paling cepat bulan Januari sebesar 40% (empat puluh persen);</w:t>
      </w:r>
    </w:p>
    <w:p w:rsidR="00EA7928" w:rsidRDefault="00EA7928" w:rsidP="00EA7928">
      <w:pPr>
        <w:pStyle w:val="ListParagraph"/>
        <w:numPr>
          <w:ilvl w:val="0"/>
          <w:numId w:val="4"/>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II paling cepat bulan Maret sebesar 40% (empat puluh persen);</w:t>
      </w:r>
    </w:p>
    <w:p w:rsidR="00EA7928" w:rsidRDefault="00EA7928" w:rsidP="00EA7928">
      <w:pPr>
        <w:pStyle w:val="ListParagraph"/>
        <w:numPr>
          <w:ilvl w:val="0"/>
          <w:numId w:val="4"/>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III paling cepat bulan Juni sebesar 20% (dua puluh persen).</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Penyaluran DD untuk Desa berstatus Desa Mandiri dilakukan 2 (dua) tahap, dengan ketentuan (Pasal 23 ayat (5)):</w:t>
      </w:r>
    </w:p>
    <w:p w:rsidR="00EA7928" w:rsidRDefault="00EA7928" w:rsidP="00EA7928">
      <w:pPr>
        <w:pStyle w:val="ListParagraph"/>
        <w:numPr>
          <w:ilvl w:val="0"/>
          <w:numId w:val="5"/>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 paling cepat bulan Januari sebesar 60% (enam puluh persen); dan</w:t>
      </w:r>
    </w:p>
    <w:p w:rsidR="00EA7928" w:rsidRDefault="00EA7928" w:rsidP="00EA7928">
      <w:pPr>
        <w:pStyle w:val="ListParagraph"/>
        <w:numPr>
          <w:ilvl w:val="0"/>
          <w:numId w:val="5"/>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II paling cepat bulan Maret sebesar 40% (empat puluh persen).</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Penyaluran DD dilaksanakan setelah Kepala KPPN selaku KPA Penyaluran DAK Fisik dan Dana Desa menerima dokumen persyaratan penyaluran dari bupati/wali kota, dengan ketentuan (Pasal 24 ayat (1)):</w:t>
      </w:r>
    </w:p>
    <w:p w:rsidR="00EA7928" w:rsidRDefault="00EA7928" w:rsidP="00EA7928">
      <w:pPr>
        <w:pStyle w:val="ListParagraph"/>
        <w:numPr>
          <w:ilvl w:val="0"/>
          <w:numId w:val="6"/>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 berupa:</w:t>
      </w:r>
    </w:p>
    <w:p w:rsidR="00EA7928" w:rsidRDefault="00EA7928" w:rsidP="00EA7928">
      <w:pPr>
        <w:pStyle w:val="ListParagraph"/>
        <w:numPr>
          <w:ilvl w:val="0"/>
          <w:numId w:val="7"/>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Peraturan bupati/wali kota mengenai tata cara pembagian dan penetapan rincian DD setiap Desa;</w:t>
      </w:r>
    </w:p>
    <w:p w:rsidR="00EA7928" w:rsidRDefault="00EA7928" w:rsidP="00EA7928">
      <w:pPr>
        <w:pStyle w:val="ListParagraph"/>
        <w:numPr>
          <w:ilvl w:val="0"/>
          <w:numId w:val="7"/>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Peraturan Desa mengenai APBDes; dan</w:t>
      </w:r>
    </w:p>
    <w:p w:rsidR="00EA7928" w:rsidRDefault="00EA7928" w:rsidP="00EA7928">
      <w:pPr>
        <w:pStyle w:val="ListParagraph"/>
        <w:numPr>
          <w:ilvl w:val="0"/>
          <w:numId w:val="7"/>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Surat kuasa pemindahbukuan DD.</w:t>
      </w:r>
    </w:p>
    <w:p w:rsidR="00EA7928" w:rsidRPr="006B1F72" w:rsidRDefault="00EA7928" w:rsidP="00EA7928">
      <w:pPr>
        <w:pStyle w:val="ListParagraph"/>
        <w:numPr>
          <w:ilvl w:val="0"/>
          <w:numId w:val="6"/>
        </w:numPr>
        <w:spacing w:after="120" w:line="360" w:lineRule="auto"/>
        <w:contextualSpacing w:val="0"/>
        <w:jc w:val="both"/>
        <w:rPr>
          <w:rFonts w:ascii="Times New Roman" w:hAnsi="Times New Roman" w:cs="Times New Roman"/>
          <w:sz w:val="24"/>
          <w:szCs w:val="24"/>
          <w:lang w:val="id-ID"/>
        </w:rPr>
      </w:pPr>
      <w:r w:rsidRPr="006B1F72">
        <w:rPr>
          <w:rFonts w:ascii="Times New Roman" w:hAnsi="Times New Roman" w:cs="Times New Roman"/>
          <w:sz w:val="24"/>
          <w:szCs w:val="24"/>
          <w:lang w:val="id-ID"/>
        </w:rPr>
        <w:t xml:space="preserve">Tahap II berupa Laporan realisasi penyerapan dan capaian keluaran DD </w:t>
      </w:r>
      <w:r>
        <w:rPr>
          <w:rFonts w:ascii="Times New Roman" w:hAnsi="Times New Roman" w:cs="Times New Roman"/>
          <w:sz w:val="24"/>
          <w:szCs w:val="24"/>
          <w:lang w:val="id-ID"/>
        </w:rPr>
        <w:t>tahun anggaran sebelumnya</w:t>
      </w:r>
      <w:r w:rsidRPr="006B1F72">
        <w:rPr>
          <w:rFonts w:ascii="Times New Roman" w:hAnsi="Times New Roman" w:cs="Times New Roman"/>
          <w:sz w:val="24"/>
          <w:szCs w:val="24"/>
          <w:lang w:val="id-ID"/>
        </w:rPr>
        <w:t>.</w:t>
      </w:r>
    </w:p>
    <w:p w:rsidR="00EA7928" w:rsidRDefault="00EA7928" w:rsidP="00EA7928">
      <w:pPr>
        <w:pStyle w:val="ListParagraph"/>
        <w:numPr>
          <w:ilvl w:val="0"/>
          <w:numId w:val="6"/>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Tahap III berupa:</w:t>
      </w:r>
    </w:p>
    <w:p w:rsidR="00EA7928" w:rsidRDefault="00EA7928" w:rsidP="00EA7928">
      <w:pPr>
        <w:pStyle w:val="ListParagraph"/>
        <w:numPr>
          <w:ilvl w:val="0"/>
          <w:numId w:val="8"/>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realisasi penyerapan dan capaian keluaran DD sampai dengan tahap II menunjukkan realisasi penyerapan paling sedikit sebesar 75% (tujuh puluh lima </w:t>
      </w:r>
      <w:r>
        <w:rPr>
          <w:rFonts w:ascii="Times New Roman" w:hAnsi="Times New Roman" w:cs="Times New Roman"/>
          <w:sz w:val="24"/>
          <w:szCs w:val="24"/>
          <w:lang w:val="id-ID"/>
        </w:rPr>
        <w:lastRenderedPageBreak/>
        <w:t>persen) dan capaian keluaran menunjukkan paling sedikit sebesar 50% (lima puluh persen); dan</w:t>
      </w:r>
    </w:p>
    <w:p w:rsidR="00EA7928" w:rsidRDefault="00EA7928" w:rsidP="00EA7928">
      <w:pPr>
        <w:pStyle w:val="ListParagraph"/>
        <w:numPr>
          <w:ilvl w:val="0"/>
          <w:numId w:val="8"/>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konvergensi pencegahan </w:t>
      </w:r>
      <w:r w:rsidRPr="006B1F72">
        <w:rPr>
          <w:rFonts w:ascii="Times New Roman" w:hAnsi="Times New Roman" w:cs="Times New Roman"/>
          <w:i/>
          <w:sz w:val="24"/>
          <w:szCs w:val="24"/>
          <w:lang w:val="id-ID"/>
        </w:rPr>
        <w:t>stunting</w:t>
      </w:r>
      <w:r>
        <w:rPr>
          <w:rFonts w:ascii="Times New Roman" w:hAnsi="Times New Roman" w:cs="Times New Roman"/>
          <w:sz w:val="24"/>
          <w:szCs w:val="24"/>
          <w:lang w:val="id-ID"/>
        </w:rPr>
        <w:t xml:space="preserve"> tingkat Desa tahun anggaran sebelumnya; dan</w:t>
      </w:r>
    </w:p>
    <w:p w:rsidR="00EA7928" w:rsidRDefault="00EA7928" w:rsidP="00EA7928">
      <w:pPr>
        <w:pStyle w:val="ListParagraph"/>
        <w:numPr>
          <w:ilvl w:val="0"/>
          <w:numId w:val="8"/>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Peraturan Kepala Desa mengenai penetapan keluarga penerima manfaat BLT Desa</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Bupati/wali kota bertanggungjawab untuk menerbitkan surat kuasa pemindahbukuan DD untuk seluruh Desa, dan wajib disampaikan pada saat penyampaian dokumen persyaratan penyaluran tahap I pertama kali (Pasal 24 ayat (3)).</w:t>
      </w:r>
    </w:p>
    <w:p w:rsidR="00EA792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Dokumen persyaratan penyaluran disampaikan dengan surat pengantar yang ditandatangani oleh bupati/wali kota atau wakil bupati/wakil wali kota atau pejabat yang ditunjuk (Pasal 24 ayat (6)).</w:t>
      </w:r>
    </w:p>
    <w:p w:rsidR="00EA7928" w:rsidRPr="00A56878" w:rsidRDefault="00EA7928" w:rsidP="00EA7928">
      <w:pPr>
        <w:pStyle w:val="ListParagraph"/>
        <w:numPr>
          <w:ilvl w:val="0"/>
          <w:numId w:val="3"/>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Dokumen persyaratan penyaluran DD disampaikan dalam bentuk dokumen fisik (</w:t>
      </w:r>
      <w:r w:rsidRPr="00A56878">
        <w:rPr>
          <w:rFonts w:ascii="Times New Roman" w:hAnsi="Times New Roman" w:cs="Times New Roman"/>
          <w:i/>
          <w:sz w:val="24"/>
          <w:szCs w:val="24"/>
          <w:lang w:val="id-ID"/>
        </w:rPr>
        <w:t>hardcopy</w:t>
      </w:r>
      <w:r>
        <w:rPr>
          <w:rFonts w:ascii="Times New Roman" w:hAnsi="Times New Roman" w:cs="Times New Roman"/>
          <w:sz w:val="24"/>
          <w:szCs w:val="24"/>
          <w:lang w:val="id-ID"/>
        </w:rPr>
        <w:t>) dan/atau dokumen elektronik (</w:t>
      </w:r>
      <w:r w:rsidRPr="00A56878">
        <w:rPr>
          <w:rFonts w:ascii="Times New Roman" w:hAnsi="Times New Roman" w:cs="Times New Roman"/>
          <w:i/>
          <w:sz w:val="24"/>
          <w:szCs w:val="24"/>
          <w:lang w:val="id-ID"/>
        </w:rPr>
        <w:t>softcopy</w:t>
      </w:r>
      <w:r>
        <w:rPr>
          <w:rFonts w:ascii="Times New Roman" w:hAnsi="Times New Roman" w:cs="Times New Roman"/>
          <w:sz w:val="24"/>
          <w:szCs w:val="24"/>
          <w:lang w:val="id-ID"/>
        </w:rPr>
        <w:t>) (Pasal 24 ayat (7)).</w:t>
      </w:r>
    </w:p>
    <w:p w:rsidR="00EA7928" w:rsidRDefault="00EA7928" w:rsidP="00EA7928">
      <w:pPr>
        <w:pStyle w:val="ListParagraph"/>
        <w:spacing w:after="120" w:line="360" w:lineRule="auto"/>
        <w:ind w:left="284"/>
        <w:contextualSpacing w:val="0"/>
        <w:jc w:val="both"/>
        <w:rPr>
          <w:rFonts w:ascii="Times New Roman" w:hAnsi="Times New Roman" w:cs="Times New Roman"/>
          <w:sz w:val="24"/>
          <w:szCs w:val="24"/>
          <w:lang w:val="id-ID"/>
        </w:rPr>
      </w:pPr>
    </w:p>
    <w:p w:rsidR="00EA7928" w:rsidRDefault="00EA7928" w:rsidP="00EA7928">
      <w:pPr>
        <w:pStyle w:val="ListParagraph"/>
        <w:spacing w:after="12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Peraturan Menteri Desa, Pembangunan Daerah Tertinggal, dan Transmigrasi Nomor 11 Tahun 2019 tentang Prioritas Penggunaan Dana Desa Tahun 2020, pada Lampiran II menjelaskan:</w:t>
      </w:r>
    </w:p>
    <w:p w:rsidR="00EA7928" w:rsidRDefault="00EA7928" w:rsidP="00EA7928">
      <w:pPr>
        <w:pStyle w:val="ListParagraph"/>
        <w:spacing w:after="120" w:line="360" w:lineRule="auto"/>
        <w:ind w:left="284"/>
        <w:contextualSpacing w:val="0"/>
        <w:jc w:val="both"/>
        <w:rPr>
          <w:rFonts w:ascii="Times New Roman" w:hAnsi="Times New Roman" w:cs="Times New Roman"/>
          <w:sz w:val="24"/>
          <w:szCs w:val="24"/>
          <w:lang w:val="id-ID"/>
        </w:rPr>
      </w:pPr>
    </w:p>
    <w:p w:rsidR="00EA7928" w:rsidRDefault="00EA7928" w:rsidP="00EA7928">
      <w:pPr>
        <w:pStyle w:val="ListParagraph"/>
        <w:spacing w:after="12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Mekanisme Perubahan Dokumen Perencanaan dan Anggaran Pembangunan Desa Terhadap dokumen Rencana Kerja Pemerintah Desa (RKPDesa) Tahun 2020 dan Anggaran dan Pendapatan Belanja Desa (APB Desa) Tahun 2020 yang ditetapkan dengan Peraturan Desa sebelum terjadinya bencana alam, dilakukan langkah sebagai berikut:</w:t>
      </w:r>
    </w:p>
    <w:p w:rsidR="00EA7928" w:rsidRDefault="00EA7928" w:rsidP="00EA7928">
      <w:pPr>
        <w:pStyle w:val="ListParagraph"/>
        <w:numPr>
          <w:ilvl w:val="0"/>
          <w:numId w:val="9"/>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Perubahan RKPDes:</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Desa yang akan menggunakan Dana Desa untuk membiayai Kegiatan Tanggap Darurat, melakukan perubahan RKP Desa Tahun 2020</w:t>
      </w:r>
      <w:r>
        <w:rPr>
          <w:rFonts w:ascii="Times New Roman" w:hAnsi="Times New Roman" w:cs="Times New Roman"/>
          <w:sz w:val="24"/>
          <w:szCs w:val="24"/>
          <w:lang w:val="id-ID"/>
        </w:rPr>
        <w:t>;</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Perubahan RKP Desa dimulai dengan melakukan perhitungan kebutuhan kebencanaan dari Dana Desa 2020</w:t>
      </w:r>
      <w:r>
        <w:rPr>
          <w:rFonts w:ascii="Times New Roman" w:hAnsi="Times New Roman" w:cs="Times New Roman"/>
          <w:sz w:val="24"/>
          <w:szCs w:val="24"/>
          <w:lang w:val="id-ID"/>
        </w:rPr>
        <w:t>;</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 xml:space="preserve">Perhitungan ulang dilakukan dengan refokusing atau mengurangi jumlah kegiatan sebanyak-banyaknya 5 (lima) kegiatan, sehingga dipastikan dapat memenuhi </w:t>
      </w:r>
      <w:r>
        <w:rPr>
          <w:rFonts w:ascii="Times New Roman" w:hAnsi="Times New Roman" w:cs="Times New Roman"/>
          <w:sz w:val="24"/>
          <w:szCs w:val="24"/>
          <w:lang w:val="id"/>
        </w:rPr>
        <w:lastRenderedPageBreak/>
        <w:t>kebutuhan anggaran untuk pemenuhan kebutuhan masyarakat di wilayah yang terkena dampak bencana alam</w:t>
      </w:r>
      <w:r>
        <w:rPr>
          <w:rFonts w:ascii="Times New Roman" w:hAnsi="Times New Roman" w:cs="Times New Roman"/>
          <w:sz w:val="24"/>
          <w:szCs w:val="24"/>
          <w:lang w:val="id-ID"/>
        </w:rPr>
        <w:t>;</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Refokusing kegiatan Desa dibahas dan disepakati dalam musyawarah Desa</w:t>
      </w:r>
      <w:r>
        <w:rPr>
          <w:rFonts w:ascii="Times New Roman" w:hAnsi="Times New Roman" w:cs="Times New Roman"/>
          <w:sz w:val="24"/>
          <w:szCs w:val="24"/>
          <w:lang w:val="id-ID"/>
        </w:rPr>
        <w:t>;</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Perubahan RKP Desa Tahun 2020 disusun oleh Kepala Desa dibantu oleh Tim Penyusun RKP Desa dengan berdasarkan berita acara musyawarah Desa tentang refokusing kegiatan Desa</w:t>
      </w:r>
      <w:r>
        <w:rPr>
          <w:rFonts w:ascii="Times New Roman" w:hAnsi="Times New Roman" w:cs="Times New Roman"/>
          <w:sz w:val="24"/>
          <w:szCs w:val="24"/>
          <w:lang w:val="id-ID"/>
        </w:rPr>
        <w:t>;</w:t>
      </w:r>
    </w:p>
    <w:p w:rsidR="00EA7928" w:rsidRPr="00067A57"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Rancangan perubahan RKP Desa yang disusun oleh Kepala Desa dan tim penyusun perubahan RKP Desa dibahas dan disepakati oleh Kepala Desa, BPD dan unsur masyarakat Desa dalam Musyawarah Perencanaan Pembangunan Desa (MusrenbangDesa);</w:t>
      </w:r>
      <w:r>
        <w:rPr>
          <w:rFonts w:ascii="Times New Roman" w:hAnsi="Times New Roman" w:cs="Times New Roman"/>
          <w:sz w:val="24"/>
          <w:szCs w:val="24"/>
          <w:lang w:val="id-ID"/>
        </w:rPr>
        <w:t xml:space="preserve"> dan</w:t>
      </w:r>
    </w:p>
    <w:p w:rsidR="00EA7928" w:rsidRDefault="00EA7928" w:rsidP="00EA7928">
      <w:pPr>
        <w:pStyle w:val="ListParagraph"/>
        <w:numPr>
          <w:ilvl w:val="0"/>
          <w:numId w:val="10"/>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Hasil kesepakatan musrenbangdesa tentang Rancangan Perubahan RKP Desa menjadi dasar bagi Kepala Desa dan BPD untuk menetapkan Peraturan Desa tentang RKP Desa Tahun 2020 Perubahan</w:t>
      </w:r>
      <w:r>
        <w:rPr>
          <w:rFonts w:ascii="Times New Roman" w:hAnsi="Times New Roman" w:cs="Times New Roman"/>
          <w:sz w:val="24"/>
          <w:szCs w:val="24"/>
          <w:lang w:val="id-ID"/>
        </w:rPr>
        <w:t>.</w:t>
      </w:r>
    </w:p>
    <w:p w:rsidR="00EA7928" w:rsidRDefault="00EA7928" w:rsidP="00EA7928">
      <w:pPr>
        <w:pStyle w:val="ListParagraph"/>
        <w:spacing w:after="120" w:line="360" w:lineRule="auto"/>
        <w:ind w:left="1004"/>
        <w:contextualSpacing w:val="0"/>
        <w:jc w:val="both"/>
        <w:rPr>
          <w:rFonts w:ascii="Times New Roman" w:hAnsi="Times New Roman" w:cs="Times New Roman"/>
          <w:sz w:val="24"/>
          <w:szCs w:val="24"/>
          <w:lang w:val="id-ID"/>
        </w:rPr>
      </w:pPr>
    </w:p>
    <w:p w:rsidR="00EA7928" w:rsidRDefault="00EA7928" w:rsidP="00EA7928">
      <w:pPr>
        <w:pStyle w:val="ListParagraph"/>
        <w:numPr>
          <w:ilvl w:val="0"/>
          <w:numId w:val="9"/>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Perubahan APBDesa Tahun 2020:</w:t>
      </w:r>
    </w:p>
    <w:p w:rsidR="00EA7928" w:rsidRDefault="00EA7928" w:rsidP="00EA7928">
      <w:pPr>
        <w:pStyle w:val="ListParagraph"/>
        <w:numPr>
          <w:ilvl w:val="0"/>
          <w:numId w:val="11"/>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Bagi Desa yang sudah menetapkan APBDesa Tahun 2020, namun dilakukan perubahan RKPDesa Tahun 2020 untuk kepentingan tanggap darurat bencana alam, wajib melakukan perubahan APBDesa tahun 2020</w:t>
      </w:r>
      <w:r>
        <w:rPr>
          <w:rFonts w:ascii="Times New Roman" w:hAnsi="Times New Roman" w:cs="Times New Roman"/>
          <w:sz w:val="24"/>
          <w:szCs w:val="24"/>
          <w:lang w:val="id-ID"/>
        </w:rPr>
        <w:t>;</w:t>
      </w:r>
    </w:p>
    <w:p w:rsidR="00EA7928" w:rsidRPr="00067A57" w:rsidRDefault="00EA7928" w:rsidP="00EA7928">
      <w:pPr>
        <w:pStyle w:val="ListParagraph"/>
        <w:numPr>
          <w:ilvl w:val="0"/>
          <w:numId w:val="11"/>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Kepala Desa dan BPD melakukan perubahan APBDesa Tahun 2020 dengan berpedoman pada Peraturan Desa tentang RKP Desa 2020 Perubahan;</w:t>
      </w:r>
    </w:p>
    <w:p w:rsidR="00EA7928" w:rsidRPr="00067A57" w:rsidRDefault="00EA7928" w:rsidP="00EA7928">
      <w:pPr>
        <w:pStyle w:val="ListParagraph"/>
        <w:numPr>
          <w:ilvl w:val="0"/>
          <w:numId w:val="11"/>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Kepala Desa mengajukan rancangan perubahan TPBDesa tahun 2020 untuk direview oleh Bupati/Wali Kota sesuai peraturan perundang-undangan tentang keuangan Desa; dan</w:t>
      </w:r>
    </w:p>
    <w:p w:rsidR="00EA7928" w:rsidRPr="008E7008" w:rsidRDefault="00EA7928" w:rsidP="00EA7928">
      <w:pPr>
        <w:pStyle w:val="ListParagraph"/>
        <w:numPr>
          <w:ilvl w:val="0"/>
          <w:numId w:val="11"/>
        </w:numPr>
        <w:spacing w:after="120" w:line="36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
        </w:rPr>
        <w:t>Dalam hal rancangan perubahan APBDesa Tahun 2020 sudah disetujui Bupati/Wali Kota, maka Kepala Desa dan BPD menetapkan Peraturan Desa tentang APBDesa tahun 2020 Perubahan</w:t>
      </w:r>
      <w:r>
        <w:rPr>
          <w:rFonts w:ascii="Times New Roman" w:hAnsi="Times New Roman" w:cs="Times New Roman"/>
          <w:sz w:val="24"/>
          <w:szCs w:val="24"/>
          <w:lang w:val="id-ID"/>
        </w:rPr>
        <w:t>.</w:t>
      </w:r>
    </w:p>
    <w:p w:rsidR="00EA7928" w:rsidRPr="00EA7928" w:rsidRDefault="00EA7928" w:rsidP="00EA7928">
      <w:pPr>
        <w:spacing w:after="120" w:line="360" w:lineRule="auto"/>
        <w:jc w:val="both"/>
        <w:rPr>
          <w:rFonts w:ascii="Times New Roman" w:hAnsi="Times New Roman" w:cs="Times New Roman"/>
          <w:b/>
          <w:sz w:val="24"/>
          <w:szCs w:val="28"/>
          <w:lang w:val="id-ID"/>
        </w:rPr>
      </w:pPr>
    </w:p>
    <w:sectPr w:rsidR="00EA7928" w:rsidRPr="00EA7928" w:rsidSect="00B5242E">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88" w:rsidRDefault="006C6588" w:rsidP="002018B4">
      <w:pPr>
        <w:spacing w:after="0" w:line="240" w:lineRule="auto"/>
      </w:pPr>
      <w:r>
        <w:separator/>
      </w:r>
    </w:p>
  </w:endnote>
  <w:endnote w:type="continuationSeparator" w:id="0">
    <w:p w:rsidR="006C6588" w:rsidRDefault="006C6588" w:rsidP="0020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4" w:rsidRDefault="002018B4" w:rsidP="002018B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Pr>
        <w:noProof/>
      </w:rPr>
      <w:t>2</w:t>
    </w:r>
    <w:r>
      <w:rPr>
        <w:rFonts w:asciiTheme="majorHAnsi" w:eastAsiaTheme="majorEastAsia" w:hAnsiTheme="majorHAnsi" w:cstheme="majorBidi"/>
        <w:noProof/>
      </w:rPr>
      <w:fldChar w:fldCharType="end"/>
    </w:r>
  </w:p>
  <w:p w:rsidR="002018B4" w:rsidRDefault="00201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88" w:rsidRDefault="006C6588" w:rsidP="002018B4">
      <w:pPr>
        <w:spacing w:after="0" w:line="240" w:lineRule="auto"/>
      </w:pPr>
      <w:r>
        <w:separator/>
      </w:r>
    </w:p>
  </w:footnote>
  <w:footnote w:type="continuationSeparator" w:id="0">
    <w:p w:rsidR="006C6588" w:rsidRDefault="006C6588" w:rsidP="00201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E49"/>
    <w:multiLevelType w:val="hybridMultilevel"/>
    <w:tmpl w:val="21D2C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5746F"/>
    <w:multiLevelType w:val="hybridMultilevel"/>
    <w:tmpl w:val="24124A24"/>
    <w:lvl w:ilvl="0" w:tplc="F8964E4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51357AA"/>
    <w:multiLevelType w:val="hybridMultilevel"/>
    <w:tmpl w:val="8106359E"/>
    <w:lvl w:ilvl="0" w:tplc="BFC8E1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0304B4"/>
    <w:multiLevelType w:val="hybridMultilevel"/>
    <w:tmpl w:val="41781B9E"/>
    <w:lvl w:ilvl="0" w:tplc="FADA2B4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A30253D"/>
    <w:multiLevelType w:val="hybridMultilevel"/>
    <w:tmpl w:val="B39E3CE6"/>
    <w:lvl w:ilvl="0" w:tplc="88F6CE5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C742200"/>
    <w:multiLevelType w:val="hybridMultilevel"/>
    <w:tmpl w:val="56B82136"/>
    <w:lvl w:ilvl="0" w:tplc="6E16D8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9A94617"/>
    <w:multiLevelType w:val="hybridMultilevel"/>
    <w:tmpl w:val="5D34F092"/>
    <w:lvl w:ilvl="0" w:tplc="408C9D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9D03264"/>
    <w:multiLevelType w:val="hybridMultilevel"/>
    <w:tmpl w:val="F80A2CFA"/>
    <w:lvl w:ilvl="0" w:tplc="213077E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4FB22E85"/>
    <w:multiLevelType w:val="hybridMultilevel"/>
    <w:tmpl w:val="26F0242A"/>
    <w:lvl w:ilvl="0" w:tplc="EA4E385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580874BC"/>
    <w:multiLevelType w:val="hybridMultilevel"/>
    <w:tmpl w:val="5364814A"/>
    <w:lvl w:ilvl="0" w:tplc="328467B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FDD5133"/>
    <w:multiLevelType w:val="hybridMultilevel"/>
    <w:tmpl w:val="01D8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3"/>
  </w:num>
  <w:num w:numId="5">
    <w:abstractNumId w:val="1"/>
  </w:num>
  <w:num w:numId="6">
    <w:abstractNumId w:val="9"/>
  </w:num>
  <w:num w:numId="7">
    <w:abstractNumId w:val="7"/>
  </w:num>
  <w:num w:numId="8">
    <w:abstractNumId w:val="8"/>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CD"/>
    <w:rsid w:val="000C2FAE"/>
    <w:rsid w:val="00145538"/>
    <w:rsid w:val="002018B4"/>
    <w:rsid w:val="0045081C"/>
    <w:rsid w:val="004F5ECD"/>
    <w:rsid w:val="006C6588"/>
    <w:rsid w:val="00AE1EFC"/>
    <w:rsid w:val="00B5242E"/>
    <w:rsid w:val="00EA7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2521F-4CB2-494D-8A51-E1ECF631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1EFC"/>
    <w:pPr>
      <w:ind w:left="720"/>
      <w:contextualSpacing/>
    </w:pPr>
  </w:style>
  <w:style w:type="character" w:styleId="Hyperlink">
    <w:name w:val="Hyperlink"/>
    <w:basedOn w:val="DefaultParagraphFont"/>
    <w:uiPriority w:val="99"/>
    <w:semiHidden/>
    <w:unhideWhenUsed/>
    <w:rsid w:val="00AE1EFC"/>
    <w:rPr>
      <w:color w:val="0000FF"/>
      <w:u w:val="single"/>
    </w:rPr>
  </w:style>
  <w:style w:type="paragraph" w:styleId="Header">
    <w:name w:val="header"/>
    <w:basedOn w:val="Normal"/>
    <w:link w:val="HeaderChar"/>
    <w:uiPriority w:val="99"/>
    <w:unhideWhenUsed/>
    <w:rsid w:val="00201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B4"/>
  </w:style>
  <w:style w:type="paragraph" w:styleId="Footer">
    <w:name w:val="footer"/>
    <w:basedOn w:val="Normal"/>
    <w:link w:val="FooterChar"/>
    <w:uiPriority w:val="99"/>
    <w:unhideWhenUsed/>
    <w:rsid w:val="00201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lombok.id/berita-utama/kejari-mataram-selidiki-dugaan-penyelewengan-dana-desa-ses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mbokpost.jawapos.com/tanjung/24/06/2020/dugaan-korupsi-dana-desa-sesait-jaksa-klarifikasi-sejumlah-sa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Eko Purnomo</dc:creator>
  <cp:keywords/>
  <dc:description/>
  <cp:lastModifiedBy>andre setyarso</cp:lastModifiedBy>
  <cp:revision>6</cp:revision>
  <dcterms:created xsi:type="dcterms:W3CDTF">2020-06-25T02:24:00Z</dcterms:created>
  <dcterms:modified xsi:type="dcterms:W3CDTF">2020-08-10T05:40:00Z</dcterms:modified>
</cp:coreProperties>
</file>