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24" w:rsidRDefault="00327F24" w:rsidP="00327F24">
      <w:pPr>
        <w:spacing w:after="120" w:line="280" w:lineRule="exact"/>
        <w:jc w:val="center"/>
        <w:rPr>
          <w:rFonts w:ascii="Times New Roman" w:hAnsi="Times New Roman" w:cs="Times New Roman"/>
          <w:b/>
          <w:sz w:val="28"/>
          <w:szCs w:val="28"/>
        </w:rPr>
      </w:pPr>
      <w:r w:rsidRPr="00327F24">
        <w:rPr>
          <w:rFonts w:ascii="Times New Roman" w:hAnsi="Times New Roman" w:cs="Times New Roman"/>
          <w:b/>
          <w:sz w:val="28"/>
          <w:szCs w:val="28"/>
        </w:rPr>
        <w:t>Mantan Kades Kuripan Dituntut 5,5 Tahun Penjara</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B5242E" w:rsidP="00B5242E">
                            <w:pPr>
                              <w:jc w:val="center"/>
                            </w:pPr>
                            <w:r w:rsidRPr="00B5242E">
                              <w:rPr>
                                <w:noProof/>
                              </w:rPr>
                              <w:drawing>
                                <wp:inline distT="0" distB="0" distL="0" distR="0">
                                  <wp:extent cx="3381375" cy="1947672"/>
                                  <wp:effectExtent l="0" t="0" r="0" b="0"/>
                                  <wp:docPr id="3" name="Picture 3" descr="D:\1. Non Audit\!! Subbag Hukum\dana d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Non Audit\!! Subbag Hukum\dana de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3418" cy="19603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" fillcolor="white [3201]" stroked="f" strokeweight=".5pt">
                <v:textbox>
                  <w:txbxContent>
                    <w:p w:rsidR="00B5242E" w:rsidRDefault="00B5242E" w:rsidP="00B5242E">
                      <w:pPr>
                        <w:jc w:val="center"/>
                      </w:pPr>
                      <w:r w:rsidRPr="00B5242E">
                        <w:rPr>
                          <w:noProof/>
                        </w:rPr>
                        <w:drawing>
                          <wp:inline distT="0" distB="0" distL="0" distR="0">
                            <wp:extent cx="3381375" cy="1947672"/>
                            <wp:effectExtent l="0" t="0" r="0" b="0"/>
                            <wp:docPr id="3" name="Picture 3" descr="D:\1. Non Audit\!! Subbag Hukum\dana d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Non Audit\!! Subbag Hukum\dana de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3418" cy="1960369"/>
                                    </a:xfrm>
                                    <a:prstGeom prst="rect">
                                      <a:avLst/>
                                    </a:prstGeom>
                                    <a:noFill/>
                                    <a:ln>
                                      <a:noFill/>
                                    </a:ln>
                                  </pic:spPr>
                                </pic:pic>
                              </a:graphicData>
                            </a:graphic>
                          </wp:inline>
                        </w:drawing>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B5242E" w:rsidRDefault="00B5242E" w:rsidP="00B5242E">
      <w:pPr>
        <w:spacing w:before="240" w:after="120" w:line="280" w:lineRule="exact"/>
        <w:jc w:val="center"/>
        <w:rPr>
          <w:rFonts w:ascii="Times New Roman" w:hAnsi="Times New Roman" w:cs="Times New Roman"/>
          <w:i/>
          <w:sz w:val="24"/>
          <w:szCs w:val="28"/>
          <w:lang w:val="id-ID"/>
        </w:rPr>
      </w:pPr>
      <w:r w:rsidRPr="00B5242E">
        <w:rPr>
          <w:rFonts w:ascii="Times New Roman" w:hAnsi="Times New Roman" w:cs="Times New Roman"/>
          <w:i/>
          <w:sz w:val="24"/>
          <w:szCs w:val="28"/>
          <w:lang w:val="id-ID"/>
        </w:rPr>
        <w:t>Trubus.news</w:t>
      </w:r>
    </w:p>
    <w:p w:rsidR="00B5242E" w:rsidRDefault="00B5242E" w:rsidP="00B5242E">
      <w:pPr>
        <w:spacing w:after="120" w:line="280" w:lineRule="exact"/>
        <w:jc w:val="both"/>
        <w:rPr>
          <w:rFonts w:ascii="Times New Roman" w:hAnsi="Times New Roman" w:cs="Times New Roman"/>
          <w:b/>
          <w:sz w:val="24"/>
          <w:szCs w:val="28"/>
        </w:rPr>
      </w:pPr>
    </w:p>
    <w:p w:rsidR="003C0D24" w:rsidRPr="003C0D24" w:rsidRDefault="003C0D24" w:rsidP="003C0D24">
      <w:pPr>
        <w:spacing w:after="120" w:line="360" w:lineRule="auto"/>
        <w:jc w:val="both"/>
        <w:rPr>
          <w:rFonts w:ascii="Times New Roman" w:hAnsi="Times New Roman" w:cs="Times New Roman"/>
          <w:sz w:val="24"/>
          <w:szCs w:val="28"/>
        </w:rPr>
      </w:pPr>
      <w:r w:rsidRPr="003C0D24">
        <w:rPr>
          <w:rFonts w:ascii="Times New Roman" w:hAnsi="Times New Roman" w:cs="Times New Roman"/>
          <w:b/>
          <w:sz w:val="24"/>
          <w:szCs w:val="28"/>
        </w:rPr>
        <w:t xml:space="preserve">MATARAM </w:t>
      </w:r>
      <w:r>
        <w:rPr>
          <w:rFonts w:ascii="Times New Roman" w:hAnsi="Times New Roman" w:cs="Times New Roman"/>
          <w:sz w:val="24"/>
          <w:szCs w:val="28"/>
        </w:rPr>
        <w:t>-</w:t>
      </w:r>
      <w:r w:rsidRPr="003C0D24">
        <w:rPr>
          <w:rFonts w:ascii="Times New Roman" w:hAnsi="Times New Roman" w:cs="Times New Roman"/>
          <w:sz w:val="24"/>
          <w:szCs w:val="28"/>
        </w:rPr>
        <w:t xml:space="preserve">  Terdakwa korupsi penggunaan dana desa Kuripan tahun 2016 itu dituntut berat. ”Menuntut supaya majelis hakim memutuskan menjatuhkan pidana terhadap terdakwa Mastur dengan pidana penjara lima tahun enam bulan,” kata Jaksa Penuntut Umum (JPU) Mutmainah Hasanah saat membacakan tuntutan di hadapan majelis hakim dan terdakwa.</w:t>
      </w:r>
    </w:p>
    <w:p w:rsidR="003C0D24" w:rsidRPr="003C0D24" w:rsidRDefault="003C0D24" w:rsidP="003C0D24">
      <w:pPr>
        <w:spacing w:after="120" w:line="360" w:lineRule="auto"/>
        <w:jc w:val="both"/>
        <w:rPr>
          <w:rFonts w:ascii="Times New Roman" w:hAnsi="Times New Roman" w:cs="Times New Roman"/>
          <w:sz w:val="24"/>
          <w:szCs w:val="28"/>
        </w:rPr>
      </w:pPr>
      <w:r w:rsidRPr="003C0D24">
        <w:rPr>
          <w:rFonts w:ascii="Times New Roman" w:hAnsi="Times New Roman" w:cs="Times New Roman"/>
          <w:sz w:val="24"/>
          <w:szCs w:val="28"/>
        </w:rPr>
        <w:t>Terdakwa juga dituntut membayar ganti kerugian negara Rp 338,93 juta. Apabila tidak dibayar maka diganti dengan penjara selama satu tahun enam bulan. ”Membabankan denda Rp 200 juta subsider enam bulan kurungan,” kata jaksa yang akrab disapa Iin itu.</w:t>
      </w:r>
    </w:p>
    <w:p w:rsidR="003C0D24" w:rsidRPr="003C0D24" w:rsidRDefault="003C0D24" w:rsidP="003C0D24">
      <w:pPr>
        <w:spacing w:after="120" w:line="360" w:lineRule="auto"/>
        <w:jc w:val="both"/>
        <w:rPr>
          <w:rFonts w:ascii="Times New Roman" w:hAnsi="Times New Roman" w:cs="Times New Roman"/>
          <w:sz w:val="24"/>
          <w:szCs w:val="28"/>
        </w:rPr>
      </w:pPr>
      <w:r w:rsidRPr="003C0D24">
        <w:rPr>
          <w:rFonts w:ascii="Times New Roman" w:hAnsi="Times New Roman" w:cs="Times New Roman"/>
          <w:sz w:val="24"/>
          <w:szCs w:val="28"/>
        </w:rPr>
        <w:t>Pada tahun 2016, Desa Kuripan mengelola dana desa sekitar Rp 2,16 miliar. Dana tersebut bersumber dari DD/ADD dan bagi hasil pajak dan retribusi daerah (BPHRD). Anggaran tersebut digunakan untuk menjalankan program desa. Seperti, pembangunan proyek fisik untuk pembangunan rabat, talud, jembatan, dan bronjong. ”Dari proyek itu ada kekurangan volume pekerjaan,” jelasnya.</w:t>
      </w:r>
    </w:p>
    <w:p w:rsidR="003C0D24" w:rsidRPr="003C0D24" w:rsidRDefault="003C0D24" w:rsidP="003C0D24">
      <w:pPr>
        <w:spacing w:after="120" w:line="360" w:lineRule="auto"/>
        <w:jc w:val="both"/>
        <w:rPr>
          <w:rFonts w:ascii="Times New Roman" w:hAnsi="Times New Roman" w:cs="Times New Roman"/>
          <w:sz w:val="24"/>
          <w:szCs w:val="28"/>
        </w:rPr>
      </w:pPr>
      <w:r w:rsidRPr="003C0D24">
        <w:rPr>
          <w:rFonts w:ascii="Times New Roman" w:hAnsi="Times New Roman" w:cs="Times New Roman"/>
          <w:sz w:val="24"/>
          <w:szCs w:val="28"/>
        </w:rPr>
        <w:t>Tak hanya itu, ada juga untuk pengadaan gawang futsal, alat penggilingan bakso, pengadaan motor roda tiga, bak sampah, perangkat komputer, dan alat pemotong rumput. ”Dari LPJ program itu setelah dicek ternyata fiktif,” jelasnya.</w:t>
      </w:r>
    </w:p>
    <w:p w:rsidR="003C0D24" w:rsidRPr="003C0D24" w:rsidRDefault="003C0D24" w:rsidP="003C0D24">
      <w:pPr>
        <w:spacing w:after="120" w:line="360" w:lineRule="auto"/>
        <w:jc w:val="both"/>
        <w:rPr>
          <w:rFonts w:ascii="Times New Roman" w:hAnsi="Times New Roman" w:cs="Times New Roman"/>
          <w:sz w:val="24"/>
          <w:szCs w:val="28"/>
        </w:rPr>
      </w:pPr>
      <w:r w:rsidRPr="003C0D24">
        <w:rPr>
          <w:rFonts w:ascii="Times New Roman" w:hAnsi="Times New Roman" w:cs="Times New Roman"/>
          <w:sz w:val="24"/>
          <w:szCs w:val="28"/>
        </w:rPr>
        <w:t>Terdakwa juga meminjam uang kas desa Rp 48,54 juta. Namun, yang baru dikembalikan Rp 10 juta. ”Uang itu digunakan untuk keperluan pribadi,” bebernya.</w:t>
      </w:r>
    </w:p>
    <w:p w:rsidR="003C0D24" w:rsidRPr="003C0D24" w:rsidRDefault="003C0D24" w:rsidP="003C0D24">
      <w:pPr>
        <w:spacing w:after="120" w:line="360" w:lineRule="auto"/>
        <w:jc w:val="both"/>
        <w:rPr>
          <w:rFonts w:ascii="Times New Roman" w:hAnsi="Times New Roman" w:cs="Times New Roman"/>
          <w:sz w:val="24"/>
          <w:szCs w:val="28"/>
        </w:rPr>
      </w:pPr>
      <w:r w:rsidRPr="003C0D24">
        <w:rPr>
          <w:rFonts w:ascii="Times New Roman" w:hAnsi="Times New Roman" w:cs="Times New Roman"/>
          <w:sz w:val="24"/>
          <w:szCs w:val="28"/>
        </w:rPr>
        <w:t>Ada juga uang dipinjam Rp 20 juta. Diperuntukkan membagi THR untuk pejabat badan permusyawaratan desa (BPD) dan petugas desa lainnya. ”Uang itu juga belum dikembalikan,” kata Iin.</w:t>
      </w:r>
    </w:p>
    <w:p w:rsidR="003C0D24" w:rsidRPr="003C0D24" w:rsidRDefault="003C0D24" w:rsidP="003C0D24">
      <w:pPr>
        <w:spacing w:after="120" w:line="360" w:lineRule="auto"/>
        <w:jc w:val="both"/>
        <w:rPr>
          <w:rFonts w:ascii="Times New Roman" w:hAnsi="Times New Roman" w:cs="Times New Roman"/>
          <w:sz w:val="24"/>
          <w:szCs w:val="28"/>
        </w:rPr>
      </w:pPr>
      <w:r w:rsidRPr="003C0D24">
        <w:rPr>
          <w:rFonts w:ascii="Times New Roman" w:hAnsi="Times New Roman" w:cs="Times New Roman"/>
          <w:sz w:val="24"/>
          <w:szCs w:val="28"/>
        </w:rPr>
        <w:lastRenderedPageBreak/>
        <w:t>Dalam pertimbangan JPU, menuntut berdasarkan pasal 2 ayat (1) juncto pasal 18 Undang-undang Nomor 20 Tahun 2001 tentang perubahan atas Undang-undang Nomor 31 Tahun 1999 tentang Tindak Pidana Korupsi.  Menurut jaksa unsur pasal tersebut sudah terpenuhi.</w:t>
      </w:r>
    </w:p>
    <w:p w:rsidR="003C0D24" w:rsidRPr="003C0D24" w:rsidRDefault="003C0D24" w:rsidP="003C0D24">
      <w:pPr>
        <w:spacing w:after="120" w:line="360" w:lineRule="auto"/>
        <w:jc w:val="both"/>
        <w:rPr>
          <w:rFonts w:ascii="Times New Roman" w:hAnsi="Times New Roman" w:cs="Times New Roman"/>
          <w:sz w:val="24"/>
          <w:szCs w:val="28"/>
        </w:rPr>
      </w:pPr>
      <w:r w:rsidRPr="003C0D24">
        <w:rPr>
          <w:rFonts w:ascii="Times New Roman" w:hAnsi="Times New Roman" w:cs="Times New Roman"/>
          <w:sz w:val="24"/>
          <w:szCs w:val="28"/>
        </w:rPr>
        <w:t>Ada beberapa pertimbangan JPU sehingga menuntut lebih berat. Seperti, terdakwa masih berbelit-belit dalam persidangan serta belum mengembalikan kerugian negara.</w:t>
      </w:r>
    </w:p>
    <w:p w:rsidR="00B5242E" w:rsidRPr="003C0D24" w:rsidRDefault="003C0D24" w:rsidP="003C0D24">
      <w:pPr>
        <w:spacing w:after="120" w:line="360" w:lineRule="auto"/>
        <w:jc w:val="both"/>
        <w:rPr>
          <w:rFonts w:ascii="Times New Roman" w:hAnsi="Times New Roman" w:cs="Times New Roman"/>
          <w:sz w:val="24"/>
          <w:szCs w:val="28"/>
        </w:rPr>
      </w:pPr>
      <w:r w:rsidRPr="003C0D24">
        <w:rPr>
          <w:rFonts w:ascii="Times New Roman" w:hAnsi="Times New Roman" w:cs="Times New Roman"/>
          <w:sz w:val="24"/>
          <w:szCs w:val="28"/>
        </w:rPr>
        <w:t>Penasihat hukum terdakwa, Izrail mengatakan tuntutan jaksa terlalu berat. Menurutnya, kliennya itu tidak menikmati uang tersebut karena bersifat pasif. ”Kita akan upayakan melakukan pembelaan saat pembacaan pleidoi di sidang selanjutnya,” kata Izrail. (arl/r1)</w:t>
      </w:r>
    </w:p>
    <w:p w:rsidR="00AE1EFC" w:rsidRDefault="00AE1EFC"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3C0D24" w:rsidRPr="003C0D24" w:rsidRDefault="00D23FD7" w:rsidP="00AE1EFC">
      <w:pPr>
        <w:pStyle w:val="ListParagraph"/>
        <w:numPr>
          <w:ilvl w:val="0"/>
          <w:numId w:val="1"/>
        </w:numPr>
        <w:spacing w:after="120" w:line="360" w:lineRule="auto"/>
        <w:ind w:left="360"/>
        <w:jc w:val="both"/>
        <w:rPr>
          <w:rStyle w:val="Hyperlink"/>
          <w:rFonts w:ascii="Times New Roman" w:hAnsi="Times New Roman" w:cs="Times New Roman"/>
          <w:color w:val="auto"/>
          <w:sz w:val="24"/>
          <w:szCs w:val="28"/>
          <w:u w:val="none"/>
          <w:lang w:val="id-ID"/>
        </w:rPr>
      </w:pPr>
      <w:hyperlink r:id="rId7" w:history="1">
        <w:r w:rsidR="003C0D24" w:rsidRPr="00443147">
          <w:rPr>
            <w:rStyle w:val="Hyperlink"/>
          </w:rPr>
          <w:t>https://lombokpost.jawapos.com/nasional/13/11/2020/mantan-kades-kuripan-dituntut-55-tahun-penjara/</w:t>
        </w:r>
      </w:hyperlink>
      <w:r>
        <w:rPr>
          <w:rStyle w:val="Hyperlink"/>
        </w:rPr>
        <w:t xml:space="preserve"> (13 November 2020)</w:t>
      </w:r>
    </w:p>
    <w:p w:rsidR="00B5242E" w:rsidRDefault="00D23FD7" w:rsidP="003C0D24">
      <w:pPr>
        <w:pStyle w:val="ListParagraph"/>
        <w:numPr>
          <w:ilvl w:val="0"/>
          <w:numId w:val="1"/>
        </w:numPr>
        <w:spacing w:after="120" w:line="360" w:lineRule="auto"/>
        <w:ind w:left="360"/>
        <w:jc w:val="both"/>
        <w:rPr>
          <w:rStyle w:val="Hyperlink"/>
        </w:rPr>
      </w:pPr>
      <w:hyperlink r:id="rId8" w:history="1">
        <w:r w:rsidR="003C0D24" w:rsidRPr="00443147">
          <w:rPr>
            <w:rStyle w:val="Hyperlink"/>
          </w:rPr>
          <w:t>https://insidelombok.id/kriminal/diduga-korupsi-dana-desa-ratusan-juta-rupiah-eks-kades-kuripan-lombok-barat-dituntut-55-tahun-penjara/</w:t>
        </w:r>
      </w:hyperlink>
      <w:r>
        <w:rPr>
          <w:rStyle w:val="Hyperlink"/>
        </w:rPr>
        <w:t xml:space="preserve"> (13 November 2020)</w:t>
      </w:r>
      <w:bookmarkStart w:id="0" w:name="_GoBack"/>
      <w:bookmarkEnd w:id="0"/>
    </w:p>
    <w:p w:rsidR="003C0D24" w:rsidRDefault="003C0D24"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EA7928" w:rsidRDefault="00EA7928" w:rsidP="00EA7928">
      <w:pPr>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w:t>
      </w:r>
      <w:r w:rsidRPr="00EA7928">
        <w:rPr>
          <w:rFonts w:ascii="Times New Roman" w:hAnsi="Times New Roman" w:cs="Times New Roman"/>
          <w:sz w:val="24"/>
          <w:szCs w:val="28"/>
        </w:rPr>
        <w:t>Menteri</w:t>
      </w:r>
      <w:r>
        <w:rPr>
          <w:rFonts w:ascii="Times New Roman" w:hAnsi="Times New Roman" w:cs="Times New Roman"/>
          <w:sz w:val="24"/>
          <w:szCs w:val="24"/>
          <w:lang w:val="id-ID"/>
        </w:rPr>
        <w:t xml:space="preserve"> Keuangan Nomor 40/PMK.07/2020 tentang Perubahan atas Peraturan Menteri Keuangan Nomor 205/PMK.07/2019 tentang Pengelolaan Dana Desa:</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Transfer ke Daerah dan Dana Desa yang selanjutnya disingkat TKDD adalah bagian dari Belanja Negara yang dialokasikan dalam Anggaran Pendapatan dan Belanja Negara kepada Daerah dan Desa dalam rangka mendanai pelaksanaan urusan yang telah diserahkan kepada Daerah dan Desa (Pasal angka 1).</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Dana Desa (DD)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Langsung Tunai Desa yang selanjutnya disingkat BLT Desa adalah pemberian uang tunai kepada keluarga miskin atau tidak mampu di Desa yang bersumber dari Dana Desa untuk mengurangi dampak ekonomi akibat pandemi </w:t>
      </w:r>
      <w:r w:rsidRPr="008C7ED6">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w:t>
      </w:r>
      <w:r w:rsidRPr="008C7ED6">
        <w:rPr>
          <w:rFonts w:ascii="Times New Roman" w:hAnsi="Times New Roman" w:cs="Times New Roman"/>
          <w:i/>
          <w:sz w:val="24"/>
          <w:szCs w:val="24"/>
          <w:lang w:val="id-ID"/>
        </w:rPr>
        <w:t>COVID</w:t>
      </w:r>
      <w:r>
        <w:rPr>
          <w:rFonts w:ascii="Times New Roman" w:hAnsi="Times New Roman" w:cs="Times New Roman"/>
          <w:sz w:val="24"/>
          <w:szCs w:val="24"/>
          <w:lang w:val="id-ID"/>
        </w:rPr>
        <w:t>-19) (Pasal 1 angka 30)</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Tahapan dan persyaratan penyaluran (BAB V Bagian Kedua):</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40% (empat puluh persen);</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paling cepat bulan Juni sebesar 20% (dua puluh persen).</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EA7928" w:rsidRDefault="00EA7928" w:rsidP="00EA7928">
      <w:pPr>
        <w:pStyle w:val="ListParagraph"/>
        <w:numPr>
          <w:ilvl w:val="0"/>
          <w:numId w:val="5"/>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60% (enam puluh persen); dan</w:t>
      </w:r>
    </w:p>
    <w:p w:rsidR="00EA7928" w:rsidRDefault="00EA7928" w:rsidP="00EA7928">
      <w:pPr>
        <w:pStyle w:val="ListParagraph"/>
        <w:numPr>
          <w:ilvl w:val="0"/>
          <w:numId w:val="5"/>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rsidR="00EA7928"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EA7928" w:rsidRPr="006B1F72"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sidRPr="006B1F72">
        <w:rPr>
          <w:rFonts w:ascii="Times New Roman" w:hAnsi="Times New Roman" w:cs="Times New Roman"/>
          <w:sz w:val="24"/>
          <w:szCs w:val="24"/>
          <w:lang w:val="id-ID"/>
        </w:rPr>
        <w:t xml:space="preserve">Tahap II berupa Laporan realisasi penyerapan dan capaian keluaran DD </w:t>
      </w:r>
      <w:r>
        <w:rPr>
          <w:rFonts w:ascii="Times New Roman" w:hAnsi="Times New Roman" w:cs="Times New Roman"/>
          <w:sz w:val="24"/>
          <w:szCs w:val="24"/>
          <w:lang w:val="id-ID"/>
        </w:rPr>
        <w:t>tahun anggaran sebelumnya</w:t>
      </w:r>
      <w:r w:rsidRPr="006B1F72">
        <w:rPr>
          <w:rFonts w:ascii="Times New Roman" w:hAnsi="Times New Roman" w:cs="Times New Roman"/>
          <w:sz w:val="24"/>
          <w:szCs w:val="24"/>
          <w:lang w:val="id-ID"/>
        </w:rPr>
        <w:t>.</w:t>
      </w:r>
    </w:p>
    <w:p w:rsidR="00EA7928"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realisasi penyerapan dan capaian keluaran DD sampai dengan tahap II menunjukkan realisasi penyerapan paling sedikit sebesar 75% (tujuh puluh lima </w:t>
      </w:r>
      <w:r>
        <w:rPr>
          <w:rFonts w:ascii="Times New Roman" w:hAnsi="Times New Roman" w:cs="Times New Roman"/>
          <w:sz w:val="24"/>
          <w:szCs w:val="24"/>
          <w:lang w:val="id-ID"/>
        </w:rPr>
        <w:lastRenderedPageBreak/>
        <w:t>persen) dan capaian keluaran menunjukkan paling sedikit sebesar 50% (lima puluh persen); dan</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konvergensi pencegahan </w:t>
      </w:r>
      <w:r w:rsidRPr="006B1F72">
        <w:rPr>
          <w:rFonts w:ascii="Times New Roman" w:hAnsi="Times New Roman" w:cs="Times New Roman"/>
          <w:i/>
          <w:sz w:val="24"/>
          <w:szCs w:val="24"/>
          <w:lang w:val="id-ID"/>
        </w:rPr>
        <w:t>stunting</w:t>
      </w:r>
      <w:r>
        <w:rPr>
          <w:rFonts w:ascii="Times New Roman" w:hAnsi="Times New Roman" w:cs="Times New Roman"/>
          <w:sz w:val="24"/>
          <w:szCs w:val="24"/>
          <w:lang w:val="id-ID"/>
        </w:rPr>
        <w:t xml:space="preserve"> tingkat Desa tahun anggaran sebelumnya; dan</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Kepala Desa mengenai penetapan keluarga penerima manfaat BLT Desa</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 (Pasal 24 ayat (3)).</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 (Pasal 24 ayat (6)).</w:t>
      </w:r>
    </w:p>
    <w:p w:rsidR="00EA7928" w:rsidRPr="00A5687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Desa, Pembangunan Daerah Tertinggal, dan Transmigrasi Nomor 11 Tahun 2019 tentang Prioritas Penggunaan Dana Desa Tahun 2020, pada Lampiran II menjelaskan:</w:t>
      </w: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Mekanisme Perubahan Dokumen Perencanaan dan Anggaran Pembangunan Desa Terhadap dokumen Rencana Kerja Pemerintah Desa (RKPDesa) Tahun 2020 dan Anggaran dan Pendapatan Belanja Desa (APB Desa) Tahun 2020 yang ditetapkan dengan Peraturan Desa sebelum terjadinya bencana alam, dilakukan langkah sebagai berikut:</w:t>
      </w:r>
    </w:p>
    <w:p w:rsidR="00EA7928" w:rsidRDefault="00EA7928" w:rsidP="00EA7928">
      <w:pPr>
        <w:pStyle w:val="ListParagraph"/>
        <w:numPr>
          <w:ilvl w:val="0"/>
          <w:numId w:val="9"/>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Perubahan RKPDes:</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Desa yang akan menggunakan Dana Desa untuk membiayai Kegiatan Tanggap Darurat, melakukan perubahan RKP Desa Tahun 2020</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Perubahan RKP Desa dimulai dengan melakukan perhitungan kebutuhan kebencanaan dari Dana Desa 2020</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 xml:space="preserve">Perhitungan ulang dilakukan dengan refokusing atau mengurangi jumlah kegiatan sebanyak-banyaknya 5 (lima) kegiatan, sehingga dipastikan dapat memenuhi </w:t>
      </w:r>
      <w:r>
        <w:rPr>
          <w:rFonts w:ascii="Times New Roman" w:hAnsi="Times New Roman" w:cs="Times New Roman"/>
          <w:sz w:val="24"/>
          <w:szCs w:val="24"/>
          <w:lang w:val="id"/>
        </w:rPr>
        <w:lastRenderedPageBreak/>
        <w:t>kebutuhan anggaran untuk pemenuhan kebutuhan masyarakat di wilayah yang terkena dampak bencana alam</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Refokusing kegiatan Desa dibahas dan disepakati dalam musyawarah Desa</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Perubahan RKP Desa Tahun 2020 disusun oleh Kepala Desa dibantu oleh Tim Penyusun RKP Desa dengan berdasarkan berita acara musyawarah Desa tentang refokusing kegiatan Desa</w:t>
      </w:r>
      <w:r>
        <w:rPr>
          <w:rFonts w:ascii="Times New Roman" w:hAnsi="Times New Roman" w:cs="Times New Roman"/>
          <w:sz w:val="24"/>
          <w:szCs w:val="24"/>
          <w:lang w:val="id-ID"/>
        </w:rPr>
        <w:t>;</w:t>
      </w:r>
    </w:p>
    <w:p w:rsidR="00EA7928" w:rsidRPr="00067A57"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Rancangan perubahan RKP Desa yang disusun oleh Kepala Desa dan tim penyusun perubahan RKP Desa dibahas dan disepakati oleh Kepala Desa, BPD dan unsur masyarakat Desa dalam Musyawarah Perencanaan Pembangunan Desa (MusrenbangDesa);</w:t>
      </w:r>
      <w:r>
        <w:rPr>
          <w:rFonts w:ascii="Times New Roman" w:hAnsi="Times New Roman" w:cs="Times New Roman"/>
          <w:sz w:val="24"/>
          <w:szCs w:val="24"/>
          <w:lang w:val="id-ID"/>
        </w:rPr>
        <w:t xml:space="preserve"> dan</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Hasil kesepakatan musrenbangdesa tentang Rancangan Perubahan RKP Desa menjadi dasar bagi Kepala Desa dan BPD untuk menetapkan Peraturan Desa tentang RKP Desa Tahun 2020 Perubahan</w:t>
      </w:r>
      <w:r>
        <w:rPr>
          <w:rFonts w:ascii="Times New Roman" w:hAnsi="Times New Roman" w:cs="Times New Roman"/>
          <w:sz w:val="24"/>
          <w:szCs w:val="24"/>
          <w:lang w:val="id-ID"/>
        </w:rPr>
        <w:t>.</w:t>
      </w:r>
    </w:p>
    <w:p w:rsidR="00EA7928" w:rsidRDefault="00EA7928" w:rsidP="00EA7928">
      <w:pPr>
        <w:pStyle w:val="ListParagraph"/>
        <w:spacing w:after="120" w:line="360" w:lineRule="auto"/>
        <w:ind w:left="1004"/>
        <w:contextualSpacing w:val="0"/>
        <w:jc w:val="both"/>
        <w:rPr>
          <w:rFonts w:ascii="Times New Roman" w:hAnsi="Times New Roman" w:cs="Times New Roman"/>
          <w:sz w:val="24"/>
          <w:szCs w:val="24"/>
          <w:lang w:val="id-ID"/>
        </w:rPr>
      </w:pPr>
    </w:p>
    <w:p w:rsidR="00EA7928" w:rsidRDefault="00EA7928" w:rsidP="00EA7928">
      <w:pPr>
        <w:pStyle w:val="ListParagraph"/>
        <w:numPr>
          <w:ilvl w:val="0"/>
          <w:numId w:val="9"/>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Perubahan APBDesa Tahun 2020:</w:t>
      </w:r>
    </w:p>
    <w:p w:rsidR="00EA7928"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Bagi Desa yang sudah menetapkan APBDesa Tahun 2020, namun dilakukan perubahan RKPDesa Tahun 2020 untuk kepentingan tanggap darurat bencana alam, wajib melakukan perubahan APBDesa tahun 2020</w:t>
      </w:r>
      <w:r>
        <w:rPr>
          <w:rFonts w:ascii="Times New Roman" w:hAnsi="Times New Roman" w:cs="Times New Roman"/>
          <w:sz w:val="24"/>
          <w:szCs w:val="24"/>
          <w:lang w:val="id-ID"/>
        </w:rPr>
        <w:t>;</w:t>
      </w:r>
    </w:p>
    <w:p w:rsidR="00EA7928" w:rsidRPr="00067A57"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Kepala Desa dan BPD melakukan perubahan APBDesa Tahun 2020 dengan berpedoman pada Peraturan Desa tentang RKP Desa 2020 Perubahan;</w:t>
      </w:r>
    </w:p>
    <w:p w:rsidR="00EA7928" w:rsidRPr="00067A57"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Kepala Desa mengajukan rancangan perubahan TPBDesa tahun 2020 untuk direview oleh Bupati/Wali Kota sesuai peraturan perundang-undangan tentang keuangan Desa; dan</w:t>
      </w:r>
    </w:p>
    <w:p w:rsidR="00EA7928" w:rsidRPr="008E7008"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Dalam hal rancangan perubahan APBDesa Tahun 2020 sudah disetujui Bupati/Wali Kota, maka Kepala Desa dan BPD menetapkan Peraturan Desa tentang APBDesa tahun 2020 Perubahan</w:t>
      </w:r>
      <w:r>
        <w:rPr>
          <w:rFonts w:ascii="Times New Roman" w:hAnsi="Times New Roman" w:cs="Times New Roman"/>
          <w:sz w:val="24"/>
          <w:szCs w:val="24"/>
          <w:lang w:val="id-ID"/>
        </w:rPr>
        <w:t>.</w:t>
      </w:r>
    </w:p>
    <w:p w:rsidR="00EA7928" w:rsidRPr="00EA7928" w:rsidRDefault="00EA7928" w:rsidP="00EA7928">
      <w:pPr>
        <w:spacing w:after="120" w:line="360" w:lineRule="auto"/>
        <w:jc w:val="both"/>
        <w:rPr>
          <w:rFonts w:ascii="Times New Roman" w:hAnsi="Times New Roman" w:cs="Times New Roman"/>
          <w:b/>
          <w:sz w:val="24"/>
          <w:szCs w:val="28"/>
          <w:lang w:val="id-ID"/>
        </w:rPr>
      </w:pPr>
    </w:p>
    <w:sectPr w:rsidR="00EA7928" w:rsidRPr="00EA7928"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6FDD5133"/>
    <w:multiLevelType w:val="hybridMultilevel"/>
    <w:tmpl w:val="A9522EE4"/>
    <w:lvl w:ilvl="0" w:tplc="3BD47F9C">
      <w:start w:val="1"/>
      <w:numFmt w:val="decimal"/>
      <w:lvlText w:val="%1."/>
      <w:lvlJc w:val="left"/>
      <w:pPr>
        <w:ind w:left="720" w:hanging="360"/>
      </w:pPr>
      <w:rPr>
        <w:rFonts w:ascii="Times New Roman" w:hAnsi="Times New Roman" w:cs="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3"/>
  </w:num>
  <w:num w:numId="5">
    <w:abstractNumId w:val="1"/>
  </w:num>
  <w:num w:numId="6">
    <w:abstractNumId w:val="9"/>
  </w:num>
  <w:num w:numId="7">
    <w:abstractNumId w:val="7"/>
  </w:num>
  <w:num w:numId="8">
    <w:abstractNumId w:val="8"/>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C2FAE"/>
    <w:rsid w:val="00145538"/>
    <w:rsid w:val="00327F24"/>
    <w:rsid w:val="003C0D24"/>
    <w:rsid w:val="0045081C"/>
    <w:rsid w:val="004F5ECD"/>
    <w:rsid w:val="00AE1EFC"/>
    <w:rsid w:val="00B5242E"/>
    <w:rsid w:val="00D23FD7"/>
    <w:rsid w:val="00EA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lombok.id/kriminal/diduga-korupsi-dana-desa-ratusan-juta-rupiah-eks-kades-kuripan-lombok-barat-dituntut-55-tahun-penjara/" TargetMode="External"/><Relationship Id="rId3" Type="http://schemas.openxmlformats.org/officeDocument/2006/relationships/settings" Target="settings.xml"/><Relationship Id="rId7" Type="http://schemas.openxmlformats.org/officeDocument/2006/relationships/hyperlink" Target="https://lombokpost.jawapos.com/nasional/13/11/2020/mantan-kades-kuripan-dituntut-55-tahun-penja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1279</Words>
  <Characters>7295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8</cp:revision>
  <dcterms:created xsi:type="dcterms:W3CDTF">2020-06-25T02:24:00Z</dcterms:created>
  <dcterms:modified xsi:type="dcterms:W3CDTF">2020-12-23T07:33:00Z</dcterms:modified>
</cp:coreProperties>
</file>