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DC94" w14:textId="77777777" w:rsidR="00984646" w:rsidRPr="00117267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6977C85B" w14:textId="334E4C29" w:rsidR="00982FDA" w:rsidRDefault="00FF4914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FF4914">
        <w:rPr>
          <w:rFonts w:ascii="Times New Roman" w:hAnsi="Times New Roman" w:cs="Times New Roman"/>
          <w:b/>
          <w:noProof/>
        </w:rPr>
        <w:t>Kejati NTB Gelar Perkara Korupsi Gedung Asrama Haji</w:t>
      </w:r>
    </w:p>
    <w:p w14:paraId="5DCC9975" w14:textId="77777777" w:rsidR="00982FDA" w:rsidRDefault="00982FDA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1C9E1074" w14:textId="3CF6F73E" w:rsidR="00052A45" w:rsidRDefault="00DF7533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A96E22B" wp14:editId="096F7619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rupsi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A0130" w14:textId="77777777" w:rsidR="00052A45" w:rsidRDefault="00052A4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14:paraId="0A3C807B" w14:textId="59E3F1A9" w:rsidR="00FA7E61" w:rsidRDefault="00522FF5" w:rsidP="00DF7533">
      <w:pPr>
        <w:spacing w:after="0" w:line="360" w:lineRule="auto"/>
        <w:jc w:val="center"/>
        <w:rPr>
          <w:rFonts w:ascii="Times New Roman" w:hAnsi="Times New Roman" w:cs="Times New Roman"/>
        </w:rPr>
      </w:pPr>
      <w:hyperlink r:id="rId9" w:history="1">
        <w:r w:rsidR="00982FDA" w:rsidRPr="008C4BCE">
          <w:rPr>
            <w:rStyle w:val="Hyperlink"/>
            <w:rFonts w:ascii="Times New Roman" w:hAnsi="Times New Roman" w:cs="Times New Roman"/>
          </w:rPr>
          <w:t>https://www.pikiran-rakyat.com</w:t>
        </w:r>
      </w:hyperlink>
    </w:p>
    <w:p w14:paraId="554DCE57" w14:textId="77777777" w:rsidR="00982FDA" w:rsidRPr="00117267" w:rsidRDefault="00982FDA" w:rsidP="00DF753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E19B3D8" w14:textId="77777777" w:rsidR="00FF4914" w:rsidRPr="00982FDA" w:rsidRDefault="00FF4914" w:rsidP="00982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Kejaksaan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Tinggi Nusa Tenggara Barat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gelar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pemeliharaan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gedung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asrama haji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2017.  “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Gelar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perkaranya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pendalaman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unsur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terpenuhi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Kasi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Penkum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Humas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Irawan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Selasa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B15320C" w14:textId="77777777" w:rsidR="00FF4914" w:rsidRPr="00982FDA" w:rsidRDefault="00FF4914" w:rsidP="00982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memastikan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peran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penyidikannya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terungkap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Melainkan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penghitungan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negaranya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Penghitungannya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BPKH (Badan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Haji) dan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Inspektorat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NTB,”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72DC244" w14:textId="77777777" w:rsidR="00FF4914" w:rsidRPr="00982FDA" w:rsidRDefault="00FF4914" w:rsidP="00982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langkah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investigasi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hingga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menemukan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Rp1,1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butuh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pembanding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ahli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1825E42" w14:textId="77777777" w:rsidR="00FF4914" w:rsidRPr="00982FDA" w:rsidRDefault="00FF4914" w:rsidP="00982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temuan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diperkuat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BPKH dan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Inspektorat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ucapnya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Pada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item yang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diusut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kelebihan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rehabilitasi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gedung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UPT Asrama Haji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Rp1.170.816.830 yang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temuan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BPKH.</w:t>
      </w:r>
    </w:p>
    <w:p w14:paraId="0166BC42" w14:textId="681ACE84" w:rsidR="005B482C" w:rsidRDefault="00FF4914" w:rsidP="00982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penyimpangan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asrma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haji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(PNBP)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400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PNBP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hitung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inspektorat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kata </w:t>
      </w:r>
      <w:proofErr w:type="spellStart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982FDA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67717A30" w14:textId="07697449" w:rsidR="00982FDA" w:rsidRDefault="00982FDA" w:rsidP="00982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24576F9" w14:textId="77777777" w:rsidR="00982FDA" w:rsidRPr="00117267" w:rsidRDefault="00982FDA" w:rsidP="00982FD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lastRenderedPageBreak/>
        <w:t>Sumber</w:t>
      </w:r>
      <w:proofErr w:type="spellEnd"/>
      <w:r w:rsidRPr="0011726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1726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2DF20A52" w14:textId="67E911B1" w:rsidR="00982FDA" w:rsidRPr="00982FDA" w:rsidRDefault="00522FF5" w:rsidP="00982FDA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Style w:val="Hyperlink"/>
          <w:rFonts w:cstheme="minorHAnsi"/>
          <w:color w:val="000000" w:themeColor="text1"/>
          <w:u w:val="none"/>
        </w:rPr>
      </w:pPr>
      <w:hyperlink r:id="rId10" w:history="1">
        <w:r w:rsidR="00982FDA" w:rsidRPr="00982FDA">
          <w:rPr>
            <w:rStyle w:val="Hyperlink"/>
            <w:rFonts w:cstheme="minorHAnsi"/>
          </w:rPr>
          <w:t>https://insidelombok.id/kriminal/kejati-ntb-gelar-perkara-korupsi-gedung-asrama</w:t>
        </w:r>
      </w:hyperlink>
      <w:r w:rsidR="00982FDA" w:rsidRPr="00982FDA">
        <w:rPr>
          <w:rFonts w:cstheme="minorHAnsi"/>
          <w:color w:val="000000" w:themeColor="text1"/>
        </w:rPr>
        <w:t xml:space="preserve"> haji/30/06/2020</w:t>
      </w:r>
      <w:r w:rsidR="00982FDA" w:rsidRPr="00982FDA">
        <w:rPr>
          <w:rStyle w:val="Hyperlink"/>
          <w:rFonts w:cstheme="minorHAnsi"/>
          <w:color w:val="000000" w:themeColor="text1"/>
          <w:u w:val="none"/>
        </w:rPr>
        <w:t>;</w:t>
      </w:r>
    </w:p>
    <w:p w14:paraId="3982B9CA" w14:textId="77777777" w:rsidR="00982FDA" w:rsidRPr="00982FDA" w:rsidRDefault="00982FDA" w:rsidP="00982FDA">
      <w:pPr>
        <w:pStyle w:val="ListParagraph"/>
        <w:numPr>
          <w:ilvl w:val="0"/>
          <w:numId w:val="1"/>
        </w:numPr>
        <w:spacing w:after="0" w:line="360" w:lineRule="auto"/>
        <w:ind w:left="450" w:hanging="450"/>
        <w:contextualSpacing w:val="0"/>
        <w:rPr>
          <w:rFonts w:cstheme="minorHAnsi"/>
          <w:color w:val="000000" w:themeColor="text1"/>
        </w:rPr>
      </w:pPr>
      <w:r w:rsidRPr="00982FDA">
        <w:rPr>
          <w:rFonts w:cstheme="minorHAnsi"/>
          <w:color w:val="000000" w:themeColor="text1"/>
        </w:rPr>
        <w:t>https://mataram.antaranews.com/berita/125198/kejati-ntb-gelar-perkara-dugaan-korupsi-gedung-asrama-haji/30/06/2020</w:t>
      </w:r>
    </w:p>
    <w:p w14:paraId="5D50DEE2" w14:textId="77777777" w:rsidR="004A5D4A" w:rsidRDefault="004A5D4A" w:rsidP="00052A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2835E34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6458D7BF" w14:textId="4BBB3631" w:rsidR="00982FDA" w:rsidRDefault="007E0392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sebagaimana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dimaksud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undang-undang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mengatur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mengenai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Pemberantasan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9D0A4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D0A4A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15A8A65C" w14:textId="77777777" w:rsidR="007E0392" w:rsidRDefault="007E0392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Pemberantasan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serangkaian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tindakan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mencegah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memberantas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tindak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pidana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melalui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upaya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koordinasi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supervisi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, monitor,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penyelidikan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penyidikan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penuntutan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pemeriksaan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sidang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pengadilan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peran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serta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masyarakat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perundang-undangan</w:t>
      </w:r>
      <w:proofErr w:type="spellEnd"/>
      <w:r w:rsidRPr="00982FDA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982FDA">
        <w:rPr>
          <w:rFonts w:ascii="Times New Roman" w:eastAsia="Times New Roman" w:hAnsi="Times New Roman" w:cs="Times New Roman"/>
          <w:lang w:eastAsia="id-ID"/>
        </w:rPr>
        <w:t>berlaku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</w:p>
    <w:p w14:paraId="0202C187" w14:textId="77777777" w:rsidR="0069630C" w:rsidRDefault="00BF20A6" w:rsidP="007E039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7E0392">
        <w:rPr>
          <w:rFonts w:ascii="Times New Roman" w:hAnsi="Times New Roman" w:cs="Times New Roman"/>
        </w:rPr>
        <w:t>elanjutnya</w:t>
      </w:r>
      <w:proofErr w:type="spellEnd"/>
      <w:r w:rsidR="007E0392">
        <w:rPr>
          <w:rFonts w:ascii="Times New Roman" w:hAnsi="Times New Roman" w:cs="Times New Roman"/>
        </w:rPr>
        <w:t xml:space="preserve"> </w:t>
      </w:r>
      <w:proofErr w:type="spellStart"/>
      <w:r w:rsidR="007E0392">
        <w:rPr>
          <w:rFonts w:ascii="Times New Roman" w:hAnsi="Times New Roman" w:cs="Times New Roman"/>
        </w:rPr>
        <w:t>terkait</w:t>
      </w:r>
      <w:proofErr w:type="spellEnd"/>
      <w:r w:rsidR="007E0392">
        <w:rPr>
          <w:rFonts w:ascii="Times New Roman" w:hAnsi="Times New Roman" w:cs="Times New Roman"/>
        </w:rPr>
        <w:t xml:space="preserve"> </w:t>
      </w:r>
      <w:proofErr w:type="spellStart"/>
      <w:r w:rsidR="007E0392">
        <w:rPr>
          <w:rFonts w:ascii="Times New Roman" w:hAnsi="Times New Roman" w:cs="Times New Roman"/>
        </w:rPr>
        <w:t>dengan</w:t>
      </w:r>
      <w:proofErr w:type="spellEnd"/>
      <w:r w:rsidR="007E0392">
        <w:rPr>
          <w:rFonts w:ascii="Times New Roman" w:hAnsi="Times New Roman" w:cs="Times New Roman"/>
        </w:rPr>
        <w:t xml:space="preserve"> proses </w:t>
      </w:r>
      <w:proofErr w:type="spellStart"/>
      <w:r w:rsidR="00123559">
        <w:rPr>
          <w:rFonts w:ascii="Times New Roman" w:hAnsi="Times New Roman" w:cs="Times New Roman"/>
        </w:rPr>
        <w:t>penyidikan</w:t>
      </w:r>
      <w:proofErr w:type="spellEnd"/>
      <w:r w:rsidR="00123559">
        <w:rPr>
          <w:rFonts w:ascii="Times New Roman" w:hAnsi="Times New Roman" w:cs="Times New Roman"/>
        </w:rPr>
        <w:t xml:space="preserve"> dan </w:t>
      </w:r>
      <w:proofErr w:type="spellStart"/>
      <w:r w:rsidR="00123559">
        <w:rPr>
          <w:rFonts w:ascii="Times New Roman" w:hAnsi="Times New Roman" w:cs="Times New Roman"/>
        </w:rPr>
        <w:t>penuntutannya</w:t>
      </w:r>
      <w:proofErr w:type="spellEnd"/>
      <w:r w:rsidR="00123559">
        <w:rPr>
          <w:rFonts w:ascii="Times New Roman" w:hAnsi="Times New Roman" w:cs="Times New Roman"/>
        </w:rPr>
        <w:t xml:space="preserve">.  </w:t>
      </w:r>
      <w:proofErr w:type="gramStart"/>
      <w:r w:rsidR="00123559">
        <w:rPr>
          <w:rFonts w:ascii="Times New Roman" w:hAnsi="Times New Roman" w:cs="Times New Roman"/>
        </w:rPr>
        <w:t xml:space="preserve">Proses  </w:t>
      </w:r>
      <w:proofErr w:type="spellStart"/>
      <w:r w:rsidR="00123559" w:rsidRPr="00123559">
        <w:rPr>
          <w:rFonts w:ascii="Times New Roman" w:hAnsi="Times New Roman" w:cs="Times New Roman"/>
        </w:rPr>
        <w:t>Penyidikan</w:t>
      </w:r>
      <w:proofErr w:type="spellEnd"/>
      <w:proofErr w:type="gram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penuntutan</w:t>
      </w:r>
      <w:proofErr w:type="spellEnd"/>
      <w:r w:rsidR="00123559" w:rsidRPr="00123559">
        <w:rPr>
          <w:rFonts w:ascii="Times New Roman" w:hAnsi="Times New Roman" w:cs="Times New Roman"/>
        </w:rPr>
        <w:t xml:space="preserve">, dan </w:t>
      </w:r>
      <w:proofErr w:type="spellStart"/>
      <w:r w:rsidR="00123559" w:rsidRPr="00123559">
        <w:rPr>
          <w:rFonts w:ascii="Times New Roman" w:hAnsi="Times New Roman" w:cs="Times New Roman"/>
        </w:rPr>
        <w:t>pemeriksaan</w:t>
      </w:r>
      <w:proofErr w:type="spellEnd"/>
      <w:r w:rsidR="00123559" w:rsidRPr="00123559">
        <w:rPr>
          <w:rFonts w:ascii="Times New Roman" w:hAnsi="Times New Roman" w:cs="Times New Roman"/>
        </w:rPr>
        <w:t xml:space="preserve"> di </w:t>
      </w:r>
      <w:proofErr w:type="spellStart"/>
      <w:r w:rsidR="00123559" w:rsidRPr="00123559">
        <w:rPr>
          <w:rFonts w:ascii="Times New Roman" w:hAnsi="Times New Roman" w:cs="Times New Roman"/>
        </w:rPr>
        <w:t>sidang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pengadilan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dalam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perkara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tindak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pidana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korupsi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harus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didahulukan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dari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perkara</w:t>
      </w:r>
      <w:proofErr w:type="spellEnd"/>
      <w:r w:rsidR="00123559" w:rsidRPr="00123559">
        <w:rPr>
          <w:rFonts w:ascii="Times New Roman" w:hAnsi="Times New Roman" w:cs="Times New Roman"/>
        </w:rPr>
        <w:t xml:space="preserve"> lain </w:t>
      </w:r>
      <w:proofErr w:type="spellStart"/>
      <w:r w:rsidR="00123559" w:rsidRPr="00123559">
        <w:rPr>
          <w:rFonts w:ascii="Times New Roman" w:hAnsi="Times New Roman" w:cs="Times New Roman"/>
        </w:rPr>
        <w:t>guna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penyelesaian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secepatnya</w:t>
      </w:r>
      <w:proofErr w:type="spellEnd"/>
      <w:r w:rsidR="00123559">
        <w:rPr>
          <w:rFonts w:ascii="Times New Roman" w:hAnsi="Times New Roman" w:cs="Times New Roman"/>
        </w:rPr>
        <w:t>.</w:t>
      </w:r>
      <w:r w:rsidR="00123559">
        <w:rPr>
          <w:rStyle w:val="FootnoteReference"/>
          <w:rFonts w:ascii="Times New Roman" w:hAnsi="Times New Roman" w:cs="Times New Roman"/>
        </w:rPr>
        <w:footnoteReference w:id="3"/>
      </w:r>
      <w:r w:rsid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Untuk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kepentingan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penyidikan</w:t>
      </w:r>
      <w:proofErr w:type="spell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tersangka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wajib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memberikan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keterangan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tentang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seluruh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harta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bendanya</w:t>
      </w:r>
      <w:proofErr w:type="spellEnd"/>
      <w:r w:rsidR="00123559" w:rsidRPr="00123559">
        <w:rPr>
          <w:rFonts w:ascii="Times New Roman" w:hAnsi="Times New Roman" w:cs="Times New Roman"/>
        </w:rPr>
        <w:t xml:space="preserve"> dan </w:t>
      </w:r>
      <w:proofErr w:type="spellStart"/>
      <w:r w:rsidR="00123559" w:rsidRPr="00123559">
        <w:rPr>
          <w:rFonts w:ascii="Times New Roman" w:hAnsi="Times New Roman" w:cs="Times New Roman"/>
        </w:rPr>
        <w:t>harta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benda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istri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atau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suami</w:t>
      </w:r>
      <w:proofErr w:type="spellEnd"/>
      <w:r w:rsidR="00123559" w:rsidRPr="00123559">
        <w:rPr>
          <w:rFonts w:ascii="Times New Roman" w:hAnsi="Times New Roman" w:cs="Times New Roman"/>
        </w:rPr>
        <w:t xml:space="preserve">, </w:t>
      </w:r>
      <w:proofErr w:type="spellStart"/>
      <w:r w:rsidR="00123559" w:rsidRPr="00123559">
        <w:rPr>
          <w:rFonts w:ascii="Times New Roman" w:hAnsi="Times New Roman" w:cs="Times New Roman"/>
        </w:rPr>
        <w:t>anak</w:t>
      </w:r>
      <w:proofErr w:type="spellEnd"/>
      <w:r w:rsidR="00123559" w:rsidRPr="00123559">
        <w:rPr>
          <w:rFonts w:ascii="Times New Roman" w:hAnsi="Times New Roman" w:cs="Times New Roman"/>
        </w:rPr>
        <w:t xml:space="preserve">, dan </w:t>
      </w:r>
      <w:proofErr w:type="spellStart"/>
      <w:r w:rsidR="00123559" w:rsidRPr="00123559">
        <w:rPr>
          <w:rFonts w:ascii="Times New Roman" w:hAnsi="Times New Roman" w:cs="Times New Roman"/>
        </w:rPr>
        <w:t>harta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benda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setiap</w:t>
      </w:r>
      <w:proofErr w:type="spellEnd"/>
      <w:r w:rsidR="00123559" w:rsidRPr="00123559">
        <w:rPr>
          <w:rFonts w:ascii="Times New Roman" w:hAnsi="Times New Roman" w:cs="Times New Roman"/>
        </w:rPr>
        <w:t xml:space="preserve"> orang </w:t>
      </w:r>
      <w:proofErr w:type="spellStart"/>
      <w:r w:rsidR="00123559" w:rsidRPr="00123559">
        <w:rPr>
          <w:rFonts w:ascii="Times New Roman" w:hAnsi="Times New Roman" w:cs="Times New Roman"/>
        </w:rPr>
        <w:t>atau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korporasi</w:t>
      </w:r>
      <w:proofErr w:type="spellEnd"/>
      <w:r w:rsidR="00123559" w:rsidRPr="00123559">
        <w:rPr>
          <w:rFonts w:ascii="Times New Roman" w:hAnsi="Times New Roman" w:cs="Times New Roman"/>
        </w:rPr>
        <w:t xml:space="preserve"> yang </w:t>
      </w:r>
      <w:proofErr w:type="spellStart"/>
      <w:r w:rsidR="00123559" w:rsidRPr="00123559">
        <w:rPr>
          <w:rFonts w:ascii="Times New Roman" w:hAnsi="Times New Roman" w:cs="Times New Roman"/>
        </w:rPr>
        <w:t>diketahui</w:t>
      </w:r>
      <w:proofErr w:type="spellEnd"/>
      <w:r w:rsidR="00123559" w:rsidRPr="00123559">
        <w:rPr>
          <w:rFonts w:ascii="Times New Roman" w:hAnsi="Times New Roman" w:cs="Times New Roman"/>
        </w:rPr>
        <w:t xml:space="preserve"> dan </w:t>
      </w:r>
      <w:proofErr w:type="spellStart"/>
      <w:r w:rsidR="00123559" w:rsidRPr="00123559">
        <w:rPr>
          <w:rFonts w:ascii="Times New Roman" w:hAnsi="Times New Roman" w:cs="Times New Roman"/>
        </w:rPr>
        <w:t>atau</w:t>
      </w:r>
      <w:proofErr w:type="spellEnd"/>
      <w:r w:rsidR="00123559" w:rsidRPr="00123559">
        <w:rPr>
          <w:rFonts w:ascii="Times New Roman" w:hAnsi="Times New Roman" w:cs="Times New Roman"/>
        </w:rPr>
        <w:t xml:space="preserve"> yang </w:t>
      </w:r>
      <w:proofErr w:type="spellStart"/>
      <w:r w:rsidR="00123559" w:rsidRPr="00123559">
        <w:rPr>
          <w:rFonts w:ascii="Times New Roman" w:hAnsi="Times New Roman" w:cs="Times New Roman"/>
        </w:rPr>
        <w:t>diduga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mempunyai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hubungan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dengan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tindak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pidana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korupsi</w:t>
      </w:r>
      <w:proofErr w:type="spellEnd"/>
      <w:r w:rsidR="00123559" w:rsidRPr="00123559">
        <w:rPr>
          <w:rFonts w:ascii="Times New Roman" w:hAnsi="Times New Roman" w:cs="Times New Roman"/>
        </w:rPr>
        <w:t xml:space="preserve"> yang </w:t>
      </w:r>
      <w:proofErr w:type="spellStart"/>
      <w:r w:rsidR="00123559" w:rsidRPr="00123559">
        <w:rPr>
          <w:rFonts w:ascii="Times New Roman" w:hAnsi="Times New Roman" w:cs="Times New Roman"/>
        </w:rPr>
        <w:t>dilakukan</w:t>
      </w:r>
      <w:proofErr w:type="spellEnd"/>
      <w:r w:rsidR="00123559" w:rsidRPr="00123559">
        <w:rPr>
          <w:rFonts w:ascii="Times New Roman" w:hAnsi="Times New Roman" w:cs="Times New Roman"/>
        </w:rPr>
        <w:t xml:space="preserve"> </w:t>
      </w:r>
      <w:proofErr w:type="spellStart"/>
      <w:r w:rsidR="00123559" w:rsidRPr="00123559">
        <w:rPr>
          <w:rFonts w:ascii="Times New Roman" w:hAnsi="Times New Roman" w:cs="Times New Roman"/>
        </w:rPr>
        <w:t>tersangka</w:t>
      </w:r>
      <w:proofErr w:type="spellEnd"/>
      <w:r w:rsidR="00123559">
        <w:rPr>
          <w:rFonts w:ascii="Times New Roman" w:hAnsi="Times New Roman" w:cs="Times New Roman"/>
        </w:rPr>
        <w:t>.</w:t>
      </w:r>
      <w:r w:rsidR="00123559">
        <w:rPr>
          <w:rStyle w:val="FootnoteReference"/>
          <w:rFonts w:ascii="Times New Roman" w:hAnsi="Times New Roman" w:cs="Times New Roman"/>
        </w:rPr>
        <w:footnoteReference w:id="4"/>
      </w:r>
    </w:p>
    <w:p w14:paraId="3EC6FF6B" w14:textId="77777777" w:rsidR="00BF20A6" w:rsidRDefault="005E7074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E7074">
        <w:rPr>
          <w:rFonts w:ascii="Times New Roman" w:hAnsi="Times New Roman" w:cs="Times New Roman"/>
        </w:rPr>
        <w:t>Kerugian</w:t>
      </w:r>
      <w:proofErr w:type="spellEnd"/>
      <w:r w:rsidRPr="005E7074">
        <w:rPr>
          <w:rFonts w:ascii="Times New Roman" w:hAnsi="Times New Roman" w:cs="Times New Roman"/>
        </w:rPr>
        <w:t xml:space="preserve"> Negara/Daerah </w:t>
      </w:r>
      <w:proofErr w:type="spellStart"/>
      <w:r w:rsidRPr="005E7074">
        <w:rPr>
          <w:rFonts w:ascii="Times New Roman" w:hAnsi="Times New Roman" w:cs="Times New Roman"/>
        </w:rPr>
        <w:t>adalah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kekurangan</w:t>
      </w:r>
      <w:proofErr w:type="spellEnd"/>
      <w:r w:rsidRPr="005E7074">
        <w:rPr>
          <w:rFonts w:ascii="Times New Roman" w:hAnsi="Times New Roman" w:cs="Times New Roman"/>
        </w:rPr>
        <w:t xml:space="preserve"> uang, </w:t>
      </w:r>
      <w:proofErr w:type="spellStart"/>
      <w:r w:rsidRPr="005E7074">
        <w:rPr>
          <w:rFonts w:ascii="Times New Roman" w:hAnsi="Times New Roman" w:cs="Times New Roman"/>
        </w:rPr>
        <w:t>surat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berharga</w:t>
      </w:r>
      <w:proofErr w:type="spellEnd"/>
      <w:r w:rsidRPr="005E7074">
        <w:rPr>
          <w:rFonts w:ascii="Times New Roman" w:hAnsi="Times New Roman" w:cs="Times New Roman"/>
        </w:rPr>
        <w:t xml:space="preserve">, dan </w:t>
      </w:r>
      <w:proofErr w:type="spellStart"/>
      <w:r w:rsidRPr="005E7074">
        <w:rPr>
          <w:rFonts w:ascii="Times New Roman" w:hAnsi="Times New Roman" w:cs="Times New Roman"/>
        </w:rPr>
        <w:t>barang</w:t>
      </w:r>
      <w:proofErr w:type="spellEnd"/>
      <w:r w:rsidRPr="005E7074">
        <w:rPr>
          <w:rFonts w:ascii="Times New Roman" w:hAnsi="Times New Roman" w:cs="Times New Roman"/>
        </w:rPr>
        <w:t xml:space="preserve">, yang </w:t>
      </w:r>
      <w:proofErr w:type="spellStart"/>
      <w:r w:rsidRPr="005E7074">
        <w:rPr>
          <w:rFonts w:ascii="Times New Roman" w:hAnsi="Times New Roman" w:cs="Times New Roman"/>
        </w:rPr>
        <w:t>nyata</w:t>
      </w:r>
      <w:proofErr w:type="spellEnd"/>
      <w:r w:rsidRPr="005E7074">
        <w:rPr>
          <w:rFonts w:ascii="Times New Roman" w:hAnsi="Times New Roman" w:cs="Times New Roman"/>
        </w:rPr>
        <w:t xml:space="preserve"> dan </w:t>
      </w:r>
      <w:proofErr w:type="spellStart"/>
      <w:r w:rsidRPr="005E7074">
        <w:rPr>
          <w:rFonts w:ascii="Times New Roman" w:hAnsi="Times New Roman" w:cs="Times New Roman"/>
        </w:rPr>
        <w:t>pasti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jumlahnya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sebagai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akibat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perbuatan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melawan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hukum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baik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sengaja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maupun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lalai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r w:rsidR="00D8636D">
        <w:rPr>
          <w:rFonts w:ascii="Times New Roman" w:hAnsi="Times New Roman" w:cs="Times New Roman"/>
        </w:rPr>
        <w:t xml:space="preserve">yang </w:t>
      </w:r>
      <w:proofErr w:type="spellStart"/>
      <w:r w:rsidR="00D8636D">
        <w:rPr>
          <w:rFonts w:ascii="Times New Roman" w:hAnsi="Times New Roman" w:cs="Times New Roman"/>
        </w:rPr>
        <w:t>dimaksud</w:t>
      </w:r>
      <w:proofErr w:type="spellEnd"/>
      <w:r w:rsidR="00D8636D">
        <w:rPr>
          <w:rFonts w:ascii="Times New Roman" w:hAnsi="Times New Roman" w:cs="Times New Roman"/>
        </w:rPr>
        <w:t xml:space="preserve"> </w:t>
      </w:r>
      <w:proofErr w:type="spellStart"/>
      <w:r w:rsidR="00D8636D">
        <w:rPr>
          <w:rFonts w:ascii="Times New Roman" w:hAnsi="Times New Roman" w:cs="Times New Roman"/>
        </w:rPr>
        <w:t>dengan</w:t>
      </w:r>
      <w:proofErr w:type="spellEnd"/>
      <w:r w:rsidR="00D8636D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Ganti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Kerugian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adalah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sejumlah</w:t>
      </w:r>
      <w:proofErr w:type="spellEnd"/>
      <w:r w:rsidRPr="005E7074">
        <w:rPr>
          <w:rFonts w:ascii="Times New Roman" w:hAnsi="Times New Roman" w:cs="Times New Roman"/>
        </w:rPr>
        <w:t xml:space="preserve"> uang </w:t>
      </w:r>
      <w:proofErr w:type="spellStart"/>
      <w:r w:rsidRPr="005E7074">
        <w:rPr>
          <w:rFonts w:ascii="Times New Roman" w:hAnsi="Times New Roman" w:cs="Times New Roman"/>
        </w:rPr>
        <w:t>atau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barang</w:t>
      </w:r>
      <w:proofErr w:type="spellEnd"/>
      <w:r w:rsidRPr="005E7074">
        <w:rPr>
          <w:rFonts w:ascii="Times New Roman" w:hAnsi="Times New Roman" w:cs="Times New Roman"/>
        </w:rPr>
        <w:t xml:space="preserve"> yang </w:t>
      </w:r>
      <w:proofErr w:type="spellStart"/>
      <w:r w:rsidRPr="005E7074">
        <w:rPr>
          <w:rFonts w:ascii="Times New Roman" w:hAnsi="Times New Roman" w:cs="Times New Roman"/>
        </w:rPr>
        <w:t>dapat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dinilai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dengan</w:t>
      </w:r>
      <w:proofErr w:type="spellEnd"/>
      <w:r w:rsidRPr="005E7074">
        <w:rPr>
          <w:rFonts w:ascii="Times New Roman" w:hAnsi="Times New Roman" w:cs="Times New Roman"/>
        </w:rPr>
        <w:t xml:space="preserve"> uang yang </w:t>
      </w:r>
      <w:proofErr w:type="spellStart"/>
      <w:r w:rsidRPr="005E7074">
        <w:rPr>
          <w:rFonts w:ascii="Times New Roman" w:hAnsi="Times New Roman" w:cs="Times New Roman"/>
        </w:rPr>
        <w:t>harus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dikembalikan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kepada</w:t>
      </w:r>
      <w:proofErr w:type="spellEnd"/>
      <w:r w:rsidRPr="005E7074">
        <w:rPr>
          <w:rFonts w:ascii="Times New Roman" w:hAnsi="Times New Roman" w:cs="Times New Roman"/>
        </w:rPr>
        <w:t xml:space="preserve"> negara/</w:t>
      </w:r>
      <w:proofErr w:type="spellStart"/>
      <w:r w:rsidRPr="005E7074">
        <w:rPr>
          <w:rFonts w:ascii="Times New Roman" w:hAnsi="Times New Roman" w:cs="Times New Roman"/>
        </w:rPr>
        <w:t>daerah</w:t>
      </w:r>
      <w:proofErr w:type="spellEnd"/>
      <w:r w:rsidRPr="005E7074">
        <w:rPr>
          <w:rFonts w:ascii="Times New Roman" w:hAnsi="Times New Roman" w:cs="Times New Roman"/>
        </w:rPr>
        <w:t xml:space="preserve"> oleh </w:t>
      </w:r>
      <w:proofErr w:type="spellStart"/>
      <w:r w:rsidRPr="005E7074">
        <w:rPr>
          <w:rFonts w:ascii="Times New Roman" w:hAnsi="Times New Roman" w:cs="Times New Roman"/>
        </w:rPr>
        <w:t>seseorang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atau</w:t>
      </w:r>
      <w:proofErr w:type="spellEnd"/>
      <w:r w:rsidRPr="005E7074">
        <w:rPr>
          <w:rFonts w:ascii="Times New Roman" w:hAnsi="Times New Roman" w:cs="Times New Roman"/>
        </w:rPr>
        <w:t xml:space="preserve"> badan yang </w:t>
      </w:r>
      <w:proofErr w:type="spellStart"/>
      <w:r w:rsidRPr="005E7074">
        <w:rPr>
          <w:rFonts w:ascii="Times New Roman" w:hAnsi="Times New Roman" w:cs="Times New Roman"/>
        </w:rPr>
        <w:t>telah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melakukan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perbuatan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melawan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hukum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baik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sengaja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maupun</w:t>
      </w:r>
      <w:proofErr w:type="spellEnd"/>
      <w:r w:rsidRPr="005E7074">
        <w:rPr>
          <w:rFonts w:ascii="Times New Roman" w:hAnsi="Times New Roman" w:cs="Times New Roman"/>
        </w:rPr>
        <w:t xml:space="preserve"> </w:t>
      </w:r>
      <w:proofErr w:type="spellStart"/>
      <w:r w:rsidRPr="005E7074">
        <w:rPr>
          <w:rFonts w:ascii="Times New Roman" w:hAnsi="Times New Roman" w:cs="Times New Roman"/>
        </w:rPr>
        <w:t>lalai</w:t>
      </w:r>
      <w:proofErr w:type="spellEnd"/>
      <w:r w:rsidR="00D8636D">
        <w:rPr>
          <w:rFonts w:ascii="Times New Roman" w:hAnsi="Times New Roman" w:cs="Times New Roman"/>
        </w:rPr>
        <w:t>.</w:t>
      </w:r>
      <w:r w:rsidR="00D8636D">
        <w:rPr>
          <w:rStyle w:val="FootnoteReference"/>
          <w:rFonts w:ascii="Times New Roman" w:hAnsi="Times New Roman" w:cs="Times New Roman"/>
        </w:rPr>
        <w:footnoteReference w:id="6"/>
      </w:r>
    </w:p>
    <w:p w14:paraId="734183E0" w14:textId="77777777" w:rsidR="00151042" w:rsidRPr="008662B3" w:rsidRDefault="00151042" w:rsidP="005E70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2464EFD3" w14:textId="77777777" w:rsidR="00BE019B" w:rsidRPr="00117267" w:rsidRDefault="00BE019B" w:rsidP="00117267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14:paraId="7A2F1072" w14:textId="77777777" w:rsidR="00F76EBA" w:rsidRPr="00117267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sectPr w:rsidR="00F76EBA" w:rsidRPr="0011726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636DD" w14:textId="77777777" w:rsidR="00522FF5" w:rsidRDefault="00522FF5" w:rsidP="004373DC">
      <w:pPr>
        <w:spacing w:after="0" w:line="240" w:lineRule="auto"/>
      </w:pPr>
      <w:r>
        <w:separator/>
      </w:r>
    </w:p>
  </w:endnote>
  <w:endnote w:type="continuationSeparator" w:id="0">
    <w:p w14:paraId="2A21FD2F" w14:textId="77777777" w:rsidR="00522FF5" w:rsidRDefault="00522FF5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BA55" w14:textId="77777777" w:rsidR="00522FF5" w:rsidRDefault="00522FF5" w:rsidP="004373DC">
      <w:pPr>
        <w:spacing w:after="0" w:line="240" w:lineRule="auto"/>
      </w:pPr>
      <w:r>
        <w:separator/>
      </w:r>
    </w:p>
  </w:footnote>
  <w:footnote w:type="continuationSeparator" w:id="0">
    <w:p w14:paraId="3604742A" w14:textId="77777777" w:rsidR="00522FF5" w:rsidRDefault="00522FF5" w:rsidP="004373DC">
      <w:pPr>
        <w:spacing w:after="0" w:line="240" w:lineRule="auto"/>
      </w:pPr>
      <w:r>
        <w:continuationSeparator/>
      </w:r>
    </w:p>
  </w:footnote>
  <w:footnote w:id="1">
    <w:p w14:paraId="43E26BE3" w14:textId="77777777" w:rsidR="007E0392" w:rsidRPr="005E7074" w:rsidRDefault="007E0392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Lihat pasal 1 angka 1 UU 30 tahun 2002 tentang KPK</w:t>
      </w:r>
    </w:p>
  </w:footnote>
  <w:footnote w:id="2">
    <w:p w14:paraId="6051BD27" w14:textId="77777777" w:rsidR="007E0392" w:rsidRPr="005E7074" w:rsidRDefault="007E0392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r w:rsidRPr="005E7074">
        <w:rPr>
          <w:rFonts w:ascii="Times New Roman" w:hAnsi="Times New Roman" w:cs="Times New Roman"/>
          <w:sz w:val="18"/>
          <w:szCs w:val="18"/>
        </w:rPr>
        <w:t>Lihat Pasal 1 Angka 3 UU 30 tahun 2002 tentang KPK</w:t>
      </w:r>
    </w:p>
  </w:footnote>
  <w:footnote w:id="3">
    <w:p w14:paraId="3AD26B44" w14:textId="77777777" w:rsidR="00123559" w:rsidRPr="005E7074" w:rsidRDefault="00123559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r w:rsidRPr="005E7074">
        <w:rPr>
          <w:rFonts w:ascii="Times New Roman" w:hAnsi="Times New Roman" w:cs="Times New Roman"/>
          <w:sz w:val="18"/>
          <w:szCs w:val="18"/>
        </w:rPr>
        <w:t>Lihat Pasal 25 UU Nomor 31 tahun 1999 tentang Pemberantasan Tindak Pidanan Korupsi</w:t>
      </w:r>
    </w:p>
  </w:footnote>
  <w:footnote w:id="4">
    <w:p w14:paraId="3569F156" w14:textId="77777777" w:rsidR="00123559" w:rsidRPr="005E7074" w:rsidRDefault="00123559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r w:rsidRPr="005E7074">
        <w:rPr>
          <w:rFonts w:ascii="Times New Roman" w:hAnsi="Times New Roman" w:cs="Times New Roman"/>
          <w:sz w:val="18"/>
          <w:szCs w:val="18"/>
        </w:rPr>
        <w:t>Lihat Pasal 29 angka 1 UU Lihat Pasal 25 UU Nomor 31 tahun 1999 tentang Pemberantasan Tindak Pidanan Korupsi</w:t>
      </w:r>
    </w:p>
  </w:footnote>
  <w:footnote w:id="5">
    <w:p w14:paraId="3C5C3DB8" w14:textId="77777777" w:rsidR="005E7074" w:rsidRPr="005E7074" w:rsidRDefault="005E7074" w:rsidP="005E7074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5E707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E7074">
        <w:rPr>
          <w:rFonts w:ascii="Times New Roman" w:hAnsi="Times New Roman" w:cs="Times New Roman"/>
          <w:sz w:val="18"/>
          <w:szCs w:val="18"/>
        </w:rPr>
        <w:t xml:space="preserve"> </w:t>
      </w:r>
      <w:r w:rsidRPr="00D8636D">
        <w:rPr>
          <w:rFonts w:ascii="Times New Roman" w:hAnsi="Times New Roman" w:cs="Times New Roman"/>
          <w:sz w:val="18"/>
          <w:szCs w:val="18"/>
        </w:rPr>
        <w:t xml:space="preserve">Lihat Pasal 1 </w:t>
      </w:r>
      <w:r w:rsidRPr="00D8636D">
        <w:rPr>
          <w:rFonts w:ascii="Times New Roman" w:hAnsi="Times New Roman" w:cs="Times New Roman"/>
          <w:sz w:val="18"/>
          <w:szCs w:val="18"/>
        </w:rPr>
        <w:t>angka  15 UU nomor 15 tahun 2006 Tentang Badan Pemeriksa Keuangan</w:t>
      </w:r>
    </w:p>
  </w:footnote>
  <w:footnote w:id="6">
    <w:p w14:paraId="39B88EA4" w14:textId="77777777" w:rsidR="00D8636D" w:rsidRDefault="00D863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7074">
        <w:rPr>
          <w:rFonts w:ascii="Times New Roman" w:hAnsi="Times New Roman" w:cs="Times New Roman"/>
          <w:sz w:val="18"/>
          <w:szCs w:val="18"/>
        </w:rPr>
        <w:t>Lihat</w:t>
      </w:r>
      <w:r>
        <w:rPr>
          <w:rFonts w:ascii="Times New Roman" w:hAnsi="Times New Roman" w:cs="Times New Roman"/>
          <w:sz w:val="18"/>
          <w:szCs w:val="18"/>
        </w:rPr>
        <w:t xml:space="preserve"> Pasal 1 </w:t>
      </w:r>
      <w:r>
        <w:rPr>
          <w:rFonts w:ascii="Times New Roman" w:hAnsi="Times New Roman" w:cs="Times New Roman"/>
          <w:sz w:val="18"/>
          <w:szCs w:val="18"/>
        </w:rPr>
        <w:t>angka  16</w:t>
      </w:r>
      <w:r w:rsidRPr="005E7074">
        <w:rPr>
          <w:rFonts w:ascii="Times New Roman" w:hAnsi="Times New Roman" w:cs="Times New Roman"/>
          <w:sz w:val="18"/>
          <w:szCs w:val="18"/>
        </w:rPr>
        <w:t xml:space="preserve"> UU</w:t>
      </w:r>
      <w:r>
        <w:rPr>
          <w:rFonts w:ascii="Times New Roman" w:hAnsi="Times New Roman" w:cs="Times New Roman"/>
          <w:sz w:val="18"/>
          <w:szCs w:val="18"/>
        </w:rPr>
        <w:t xml:space="preserve"> nomor 15 tahun 2006 Tentang Badan Pemeriksa Keuangan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52A45"/>
    <w:rsid w:val="00056885"/>
    <w:rsid w:val="000A54B2"/>
    <w:rsid w:val="000C2B27"/>
    <w:rsid w:val="000C3750"/>
    <w:rsid w:val="000E2493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2FF5"/>
    <w:rsid w:val="00525E84"/>
    <w:rsid w:val="00537CDB"/>
    <w:rsid w:val="00541CAB"/>
    <w:rsid w:val="00561E25"/>
    <w:rsid w:val="005B1DAD"/>
    <w:rsid w:val="005B482C"/>
    <w:rsid w:val="005D1030"/>
    <w:rsid w:val="005D76E8"/>
    <w:rsid w:val="005E7074"/>
    <w:rsid w:val="0060307F"/>
    <w:rsid w:val="006069C9"/>
    <w:rsid w:val="00624734"/>
    <w:rsid w:val="00636AB7"/>
    <w:rsid w:val="00657055"/>
    <w:rsid w:val="006651B3"/>
    <w:rsid w:val="006730B3"/>
    <w:rsid w:val="006912A3"/>
    <w:rsid w:val="0069630C"/>
    <w:rsid w:val="006A2E1B"/>
    <w:rsid w:val="006C456B"/>
    <w:rsid w:val="006D1162"/>
    <w:rsid w:val="006F10F0"/>
    <w:rsid w:val="00707D1E"/>
    <w:rsid w:val="00766EE9"/>
    <w:rsid w:val="007B7895"/>
    <w:rsid w:val="007C30C1"/>
    <w:rsid w:val="007D08E6"/>
    <w:rsid w:val="007E0392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2FDA"/>
    <w:rsid w:val="00984646"/>
    <w:rsid w:val="00997D83"/>
    <w:rsid w:val="009C4013"/>
    <w:rsid w:val="009D0A4A"/>
    <w:rsid w:val="009E123E"/>
    <w:rsid w:val="00A01980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3B6C"/>
    <w:rsid w:val="00B16773"/>
    <w:rsid w:val="00B23773"/>
    <w:rsid w:val="00B3269D"/>
    <w:rsid w:val="00B47E53"/>
    <w:rsid w:val="00B533D7"/>
    <w:rsid w:val="00B6185A"/>
    <w:rsid w:val="00B64A3C"/>
    <w:rsid w:val="00B75D34"/>
    <w:rsid w:val="00BA1139"/>
    <w:rsid w:val="00BB2972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D0007A"/>
    <w:rsid w:val="00D14C75"/>
    <w:rsid w:val="00D56661"/>
    <w:rsid w:val="00D64C76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1107D"/>
    <w:rsid w:val="00E22B17"/>
    <w:rsid w:val="00E341F8"/>
    <w:rsid w:val="00E37239"/>
    <w:rsid w:val="00E41023"/>
    <w:rsid w:val="00E52A8A"/>
    <w:rsid w:val="00EA7141"/>
    <w:rsid w:val="00EB193D"/>
    <w:rsid w:val="00EF176D"/>
    <w:rsid w:val="00F367F9"/>
    <w:rsid w:val="00F47084"/>
    <w:rsid w:val="00F76EBA"/>
    <w:rsid w:val="00FA7E61"/>
    <w:rsid w:val="00FB22EC"/>
    <w:rsid w:val="00FB68E6"/>
    <w:rsid w:val="00FC0A1C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6D09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8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idelombok.id/kriminal/kejati-ntb-gelar-perkara-korupsi-gedung-asra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kiran-raky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A876-A7C8-4598-BB7E-F62DDAF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2020-12-08T01:59:00Z</dcterms:created>
  <dcterms:modified xsi:type="dcterms:W3CDTF">2020-12-08T01:59:00Z</dcterms:modified>
</cp:coreProperties>
</file>