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6A98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21F91BA4" w14:textId="77777777" w:rsidR="00D14C9B" w:rsidRDefault="00D57521" w:rsidP="009E317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D57521">
        <w:rPr>
          <w:rFonts w:ascii="Times New Roman" w:hAnsi="Times New Roman" w:cs="Times New Roman"/>
          <w:b/>
          <w:noProof/>
        </w:rPr>
        <w:t>1.400 Kendaraan Dinas Lombok Tengah Nunggak Pajak</w:t>
      </w:r>
    </w:p>
    <w:p w14:paraId="6CA634EC" w14:textId="77777777" w:rsidR="00D57521" w:rsidRDefault="00D57521" w:rsidP="009E317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78EE1E8" wp14:editId="1F7D5A39">
            <wp:extent cx="284797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jak kendaran dina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337A" w14:textId="77777777" w:rsidR="00D57521" w:rsidRDefault="00D5752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6489EF7" w14:textId="77777777" w:rsidR="009E3171" w:rsidRPr="00CE281D" w:rsidRDefault="00084EC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281D">
        <w:rPr>
          <w:rFonts w:ascii="Times New Roman" w:hAnsi="Times New Roman" w:cs="Times New Roman"/>
          <w:color w:val="000000" w:themeColor="text1"/>
        </w:rPr>
        <w:t>https://www.google.com/search?</w:t>
      </w:r>
    </w:p>
    <w:p w14:paraId="5B076D27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Lombok Tengah (Inside Lombok)-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1.400 </w:t>
      </w:r>
      <w:proofErr w:type="gram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gram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kendaraan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Randis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Pemkab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kendaraan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bermotor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(PKB).</w:t>
      </w:r>
    </w:p>
    <w:p w14:paraId="46F36216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Nilai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tunggakan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ratusan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rupiah.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Randis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jangka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empat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206B592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begitu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keadaannya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Randis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nunggak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ditanya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alasannya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proofErr w:type="gram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”,kata</w:t>
      </w:r>
      <w:proofErr w:type="gram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Kasubag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Tata Usaha Unit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Teknis Badan-Unit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(UPTB-UPPD) Wilayah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Praya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Sedah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Selasa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(28/7/2020).</w:t>
      </w:r>
    </w:p>
    <w:p w14:paraId="567051C4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menerangkan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alasan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Padahal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dialokasikan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tiap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(DPA).</w:t>
      </w:r>
    </w:p>
    <w:p w14:paraId="2DFDC118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Inisiatif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bayar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 yang minim.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Randis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roda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roda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empat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Paling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roda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proofErr w:type="gram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”,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proofErr w:type="gram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AE58DFB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Padahal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Randis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50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kendaraan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biasa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“Plat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merah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bayarnya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50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kendaraan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proofErr w:type="gram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”,kata</w:t>
      </w:r>
      <w:proofErr w:type="gram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Sedah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384D556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Banyaknya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Randis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nunggak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berpengaruh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(PAD).</w:t>
      </w:r>
    </w:p>
    <w:p w14:paraId="29F92786" w14:textId="77777777" w:rsidR="00D57521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“30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70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”,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66E0D01" w14:textId="77777777" w:rsidR="004A5D4A" w:rsidRPr="002F4A2E" w:rsidRDefault="00D57521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Pihaknya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berulang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menyurati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PKB. Akan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sedikit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merespon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Walaupun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bayar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tunggakan</w:t>
      </w:r>
      <w:proofErr w:type="spellEnd"/>
      <w:proofErr w:type="gram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”,</w:t>
      </w:r>
      <w:proofErr w:type="spellStart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proofErr w:type="gramEnd"/>
      <w:r w:rsidRPr="002F4A2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04985F5" w14:textId="77777777" w:rsidR="002F4A2E" w:rsidRPr="005F5037" w:rsidRDefault="002F4A2E" w:rsidP="002F4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lastRenderedPageBreak/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6FA4BA5A" w14:textId="77777777" w:rsidR="002F4A2E" w:rsidRPr="002F4A2E" w:rsidRDefault="002F4A2E" w:rsidP="002F4A2E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cstheme="minorHAnsi"/>
          <w:color w:val="000000" w:themeColor="text1"/>
          <w:u w:val="none"/>
        </w:rPr>
      </w:pPr>
      <w:r w:rsidRPr="002F4A2E">
        <w:rPr>
          <w:rFonts w:cstheme="minorHAnsi"/>
          <w:color w:val="000000" w:themeColor="text1"/>
        </w:rPr>
        <w:t>https://insidelombok.id/berita-utama/1-400-kendaraan-dinas-lombok-tengah-nunggak-pajak/28/07/2020</w:t>
      </w:r>
      <w:r w:rsidRPr="002F4A2E">
        <w:rPr>
          <w:rStyle w:val="Hyperlink"/>
          <w:rFonts w:cstheme="minorHAnsi"/>
          <w:color w:val="000000" w:themeColor="text1"/>
          <w:u w:val="none"/>
        </w:rPr>
        <w:t>;</w:t>
      </w:r>
    </w:p>
    <w:p w14:paraId="1D8E114C" w14:textId="77777777" w:rsidR="002F4A2E" w:rsidRPr="002F4A2E" w:rsidRDefault="002F4A2E" w:rsidP="002F4A2E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hyperlink r:id="rId9" w:history="1">
        <w:r w:rsidRPr="002F4A2E">
          <w:rPr>
            <w:rFonts w:cstheme="minorHAnsi"/>
            <w:color w:val="000000" w:themeColor="text1"/>
          </w:rPr>
          <w:t>https://regional.inews.id/berita/1400-kendaraan-dinas-milik-pemkab-lombok-tengah-menunggak-pajak/20/07/2020</w:t>
        </w:r>
      </w:hyperlink>
      <w:r w:rsidRPr="002F4A2E">
        <w:rPr>
          <w:rFonts w:cstheme="minorHAnsi"/>
          <w:color w:val="000000" w:themeColor="text1"/>
        </w:rPr>
        <w:t>; dan</w:t>
      </w:r>
    </w:p>
    <w:p w14:paraId="6E3A5B29" w14:textId="77777777" w:rsidR="002F4A2E" w:rsidRPr="002F4A2E" w:rsidRDefault="002F4A2E" w:rsidP="002F4A2E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r w:rsidRPr="002F4A2E">
        <w:rPr>
          <w:rFonts w:cstheme="minorHAnsi"/>
          <w:color w:val="000000" w:themeColor="text1"/>
        </w:rPr>
        <w:t>https://today.line.me/id/pc/article/1+400+Kendaraan+Dinas+Milik+Pemkab+Lombok+Tengah+Menunggak+Pajak-Z8g7eQ/20/07/2020</w:t>
      </w:r>
    </w:p>
    <w:p w14:paraId="767AA21E" w14:textId="77777777" w:rsidR="002F4A2E" w:rsidRPr="002F4A2E" w:rsidRDefault="002F4A2E" w:rsidP="002F4A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E69B38F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281A5156" w14:textId="77777777" w:rsidR="002C6DAF" w:rsidRDefault="00D57521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4A2E">
        <w:rPr>
          <w:rFonts w:ascii="Times New Roman" w:eastAsia="Times New Roman" w:hAnsi="Times New Roman" w:cs="Times New Roman"/>
          <w:lang w:eastAsia="id-ID"/>
        </w:rPr>
        <w:t xml:space="preserve">Salah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sumber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Daerah (PAD)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. Salah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jenis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sumber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kendaraan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bermotor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UU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28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2009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Daerah dan </w:t>
      </w:r>
      <w:proofErr w:type="spellStart"/>
      <w:r w:rsidRPr="002F4A2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2F4A2E">
        <w:rPr>
          <w:rFonts w:ascii="Times New Roman" w:eastAsia="Times New Roman" w:hAnsi="Times New Roman" w:cs="Times New Roman"/>
          <w:lang w:eastAsia="id-ID"/>
        </w:rPr>
        <w:t xml:space="preserve"> Daerah</w:t>
      </w:r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ketentuan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12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Kendaraan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Bermotor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kepemilikan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dan/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penguasaan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kendaraan</w:t>
      </w:r>
      <w:proofErr w:type="spellEnd"/>
      <w:r w:rsidR="003211DB" w:rsidRPr="002F4A2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="003211DB" w:rsidRPr="002F4A2E">
        <w:rPr>
          <w:rFonts w:ascii="Times New Roman" w:eastAsia="Times New Roman" w:hAnsi="Times New Roman" w:cs="Times New Roman"/>
          <w:lang w:eastAsia="id-ID"/>
        </w:rPr>
        <w:t>bermotor</w:t>
      </w:r>
      <w:proofErr w:type="spellEnd"/>
      <w:r w:rsidR="003211DB">
        <w:rPr>
          <w:rFonts w:ascii="Times New Roman" w:hAnsi="Times New Roman" w:cs="Times New Roman"/>
        </w:rPr>
        <w:t>.</w:t>
      </w:r>
      <w:r w:rsidR="003211DB">
        <w:rPr>
          <w:rStyle w:val="FootnoteReference"/>
          <w:rFonts w:ascii="Times New Roman" w:hAnsi="Times New Roman" w:cs="Times New Roman"/>
        </w:rPr>
        <w:footnoteReference w:id="1"/>
      </w:r>
      <w:r w:rsidR="003211DB">
        <w:rPr>
          <w:rFonts w:ascii="Times New Roman" w:hAnsi="Times New Roman" w:cs="Times New Roman"/>
        </w:rPr>
        <w:t xml:space="preserve"> Yang </w:t>
      </w:r>
      <w:proofErr w:type="spellStart"/>
      <w:r w:rsidR="003211DB">
        <w:rPr>
          <w:rFonts w:ascii="Times New Roman" w:hAnsi="Times New Roman" w:cs="Times New Roman"/>
        </w:rPr>
        <w:t>dimaksud</w:t>
      </w:r>
      <w:proofErr w:type="spellEnd"/>
      <w:r w:rsidR="003211DB">
        <w:rPr>
          <w:rFonts w:ascii="Times New Roman" w:hAnsi="Times New Roman" w:cs="Times New Roman"/>
        </w:rPr>
        <w:t xml:space="preserve"> </w:t>
      </w:r>
      <w:proofErr w:type="spellStart"/>
      <w:r w:rsidR="003211DB">
        <w:rPr>
          <w:rFonts w:ascii="Times New Roman" w:hAnsi="Times New Roman" w:cs="Times New Roman"/>
        </w:rPr>
        <w:t>dengan</w:t>
      </w:r>
      <w:proofErr w:type="spellEnd"/>
      <w:r w:rsidR="003211DB">
        <w:rPr>
          <w:rFonts w:ascii="Times New Roman" w:hAnsi="Times New Roman" w:cs="Times New Roman"/>
        </w:rPr>
        <w:t xml:space="preserve"> </w:t>
      </w:r>
      <w:proofErr w:type="spellStart"/>
      <w:r w:rsidR="003211DB">
        <w:rPr>
          <w:rFonts w:ascii="Times New Roman" w:hAnsi="Times New Roman" w:cs="Times New Roman"/>
        </w:rPr>
        <w:t>kedaraan</w:t>
      </w:r>
      <w:proofErr w:type="spellEnd"/>
      <w:r w:rsidR="003211DB">
        <w:rPr>
          <w:rFonts w:ascii="Times New Roman" w:hAnsi="Times New Roman" w:cs="Times New Roman"/>
        </w:rPr>
        <w:t xml:space="preserve"> </w:t>
      </w:r>
      <w:proofErr w:type="spellStart"/>
      <w:r w:rsidR="003211DB">
        <w:rPr>
          <w:rFonts w:ascii="Times New Roman" w:hAnsi="Times New Roman" w:cs="Times New Roman"/>
        </w:rPr>
        <w:t>bermotor</w:t>
      </w:r>
      <w:proofErr w:type="spellEnd"/>
      <w:r w:rsidR="003211DB">
        <w:rPr>
          <w:rFonts w:ascii="Times New Roman" w:hAnsi="Times New Roman" w:cs="Times New Roman"/>
        </w:rPr>
        <w:t xml:space="preserve"> </w:t>
      </w:r>
      <w:proofErr w:type="spellStart"/>
      <w:r w:rsidR="003211DB">
        <w:rPr>
          <w:rFonts w:ascii="Times New Roman" w:hAnsi="Times New Roman" w:cs="Times New Roman"/>
        </w:rPr>
        <w:t>adalah</w:t>
      </w:r>
      <w:proofErr w:type="spellEnd"/>
      <w:r w:rsid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Pajak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Kendaraan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Bermotor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adalah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pajak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atas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kepemilikan</w:t>
      </w:r>
      <w:proofErr w:type="spellEnd"/>
      <w:r w:rsidR="003211DB" w:rsidRPr="003211DB">
        <w:rPr>
          <w:rFonts w:ascii="Times New Roman" w:hAnsi="Times New Roman" w:cs="Times New Roman"/>
        </w:rPr>
        <w:t xml:space="preserve"> dan/</w:t>
      </w:r>
      <w:proofErr w:type="spellStart"/>
      <w:r w:rsidR="003211DB" w:rsidRPr="003211DB">
        <w:rPr>
          <w:rFonts w:ascii="Times New Roman" w:hAnsi="Times New Roman" w:cs="Times New Roman"/>
        </w:rPr>
        <w:t>atau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penguasaan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kendaraan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bermotor</w:t>
      </w:r>
      <w:proofErr w:type="spellEnd"/>
      <w:r w:rsidR="003211DB">
        <w:rPr>
          <w:rFonts w:ascii="Times New Roman" w:hAnsi="Times New Roman" w:cs="Times New Roman"/>
        </w:rPr>
        <w:tab/>
      </w:r>
      <w:proofErr w:type="spellStart"/>
      <w:r w:rsidR="003211DB" w:rsidRPr="003211DB">
        <w:rPr>
          <w:rFonts w:ascii="Times New Roman" w:hAnsi="Times New Roman" w:cs="Times New Roman"/>
        </w:rPr>
        <w:t>semua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kendaraan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beroda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beserta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gandengannya</w:t>
      </w:r>
      <w:proofErr w:type="spellEnd"/>
      <w:r w:rsidR="003211DB" w:rsidRPr="003211DB">
        <w:rPr>
          <w:rFonts w:ascii="Times New Roman" w:hAnsi="Times New Roman" w:cs="Times New Roman"/>
        </w:rPr>
        <w:t xml:space="preserve"> yang </w:t>
      </w:r>
      <w:proofErr w:type="spellStart"/>
      <w:r w:rsidR="003211DB" w:rsidRPr="003211DB">
        <w:rPr>
          <w:rFonts w:ascii="Times New Roman" w:hAnsi="Times New Roman" w:cs="Times New Roman"/>
        </w:rPr>
        <w:t>digunakan</w:t>
      </w:r>
      <w:proofErr w:type="spellEnd"/>
      <w:r w:rsidR="003211DB" w:rsidRPr="003211DB">
        <w:rPr>
          <w:rFonts w:ascii="Times New Roman" w:hAnsi="Times New Roman" w:cs="Times New Roman"/>
        </w:rPr>
        <w:t xml:space="preserve"> di </w:t>
      </w:r>
      <w:proofErr w:type="spellStart"/>
      <w:r w:rsidR="003211DB" w:rsidRPr="003211DB">
        <w:rPr>
          <w:rFonts w:ascii="Times New Roman" w:hAnsi="Times New Roman" w:cs="Times New Roman"/>
        </w:rPr>
        <w:t>semua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jenis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jalan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darat</w:t>
      </w:r>
      <w:proofErr w:type="spellEnd"/>
      <w:r w:rsidR="003211DB" w:rsidRPr="003211DB">
        <w:rPr>
          <w:rFonts w:ascii="Times New Roman" w:hAnsi="Times New Roman" w:cs="Times New Roman"/>
        </w:rPr>
        <w:t xml:space="preserve">, dan </w:t>
      </w:r>
      <w:proofErr w:type="spellStart"/>
      <w:r w:rsidR="003211DB" w:rsidRPr="003211DB">
        <w:rPr>
          <w:rFonts w:ascii="Times New Roman" w:hAnsi="Times New Roman" w:cs="Times New Roman"/>
        </w:rPr>
        <w:t>digerakkan</w:t>
      </w:r>
      <w:proofErr w:type="spellEnd"/>
      <w:r w:rsidR="003211DB" w:rsidRPr="003211DB">
        <w:rPr>
          <w:rFonts w:ascii="Times New Roman" w:hAnsi="Times New Roman" w:cs="Times New Roman"/>
        </w:rPr>
        <w:t xml:space="preserve"> oleh </w:t>
      </w:r>
      <w:proofErr w:type="spellStart"/>
      <w:r w:rsidR="003211DB" w:rsidRPr="003211DB">
        <w:rPr>
          <w:rFonts w:ascii="Times New Roman" w:hAnsi="Times New Roman" w:cs="Times New Roman"/>
        </w:rPr>
        <w:t>peralatan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teknik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berupa</w:t>
      </w:r>
      <w:proofErr w:type="spellEnd"/>
      <w:r w:rsidR="003211DB" w:rsidRPr="003211DB">
        <w:rPr>
          <w:rFonts w:ascii="Times New Roman" w:hAnsi="Times New Roman" w:cs="Times New Roman"/>
        </w:rPr>
        <w:t xml:space="preserve"> motor </w:t>
      </w:r>
      <w:proofErr w:type="spellStart"/>
      <w:r w:rsidR="003211DB" w:rsidRPr="003211DB">
        <w:rPr>
          <w:rFonts w:ascii="Times New Roman" w:hAnsi="Times New Roman" w:cs="Times New Roman"/>
        </w:rPr>
        <w:t>atau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peralatan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lainnya</w:t>
      </w:r>
      <w:proofErr w:type="spellEnd"/>
      <w:r w:rsidR="003211DB" w:rsidRPr="003211DB">
        <w:rPr>
          <w:rFonts w:ascii="Times New Roman" w:hAnsi="Times New Roman" w:cs="Times New Roman"/>
        </w:rPr>
        <w:t xml:space="preserve"> yang </w:t>
      </w:r>
      <w:proofErr w:type="spellStart"/>
      <w:r w:rsidR="003211DB" w:rsidRPr="003211DB">
        <w:rPr>
          <w:rFonts w:ascii="Times New Roman" w:hAnsi="Times New Roman" w:cs="Times New Roman"/>
        </w:rPr>
        <w:t>berfungsi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untuk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mengubah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suatu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sumber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daya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energi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tertentu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menjadi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tenaga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gerak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kendaraan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bermotor</w:t>
      </w:r>
      <w:proofErr w:type="spellEnd"/>
      <w:r w:rsidR="003211DB" w:rsidRPr="003211DB">
        <w:rPr>
          <w:rFonts w:ascii="Times New Roman" w:hAnsi="Times New Roman" w:cs="Times New Roman"/>
        </w:rPr>
        <w:t xml:space="preserve"> yang </w:t>
      </w:r>
      <w:proofErr w:type="spellStart"/>
      <w:r w:rsidR="003211DB" w:rsidRPr="003211DB">
        <w:rPr>
          <w:rFonts w:ascii="Times New Roman" w:hAnsi="Times New Roman" w:cs="Times New Roman"/>
        </w:rPr>
        <w:t>bersangkutan</w:t>
      </w:r>
      <w:proofErr w:type="spellEnd"/>
      <w:r w:rsidR="003211DB" w:rsidRPr="003211DB">
        <w:rPr>
          <w:rFonts w:ascii="Times New Roman" w:hAnsi="Times New Roman" w:cs="Times New Roman"/>
        </w:rPr>
        <w:t xml:space="preserve">, </w:t>
      </w:r>
      <w:proofErr w:type="spellStart"/>
      <w:r w:rsidR="003211DB" w:rsidRPr="003211DB">
        <w:rPr>
          <w:rFonts w:ascii="Times New Roman" w:hAnsi="Times New Roman" w:cs="Times New Roman"/>
        </w:rPr>
        <w:t>termasuk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alatalat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berat</w:t>
      </w:r>
      <w:proofErr w:type="spellEnd"/>
      <w:r w:rsidR="003211DB" w:rsidRPr="003211DB">
        <w:rPr>
          <w:rFonts w:ascii="Times New Roman" w:hAnsi="Times New Roman" w:cs="Times New Roman"/>
        </w:rPr>
        <w:t xml:space="preserve"> dan </w:t>
      </w:r>
      <w:proofErr w:type="spellStart"/>
      <w:r w:rsidR="003211DB" w:rsidRPr="003211DB">
        <w:rPr>
          <w:rFonts w:ascii="Times New Roman" w:hAnsi="Times New Roman" w:cs="Times New Roman"/>
        </w:rPr>
        <w:t>alat-alat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besar</w:t>
      </w:r>
      <w:proofErr w:type="spellEnd"/>
      <w:r w:rsidR="003211DB" w:rsidRPr="003211DB">
        <w:rPr>
          <w:rFonts w:ascii="Times New Roman" w:hAnsi="Times New Roman" w:cs="Times New Roman"/>
        </w:rPr>
        <w:t xml:space="preserve"> yang </w:t>
      </w:r>
      <w:proofErr w:type="spellStart"/>
      <w:r w:rsidR="003211DB" w:rsidRPr="003211DB">
        <w:rPr>
          <w:rFonts w:ascii="Times New Roman" w:hAnsi="Times New Roman" w:cs="Times New Roman"/>
        </w:rPr>
        <w:t>dalam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operasinya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menggunakan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roda</w:t>
      </w:r>
      <w:proofErr w:type="spellEnd"/>
      <w:r w:rsidR="003211DB" w:rsidRPr="003211DB">
        <w:rPr>
          <w:rFonts w:ascii="Times New Roman" w:hAnsi="Times New Roman" w:cs="Times New Roman"/>
        </w:rPr>
        <w:t xml:space="preserve"> dan motor dan </w:t>
      </w:r>
      <w:proofErr w:type="spellStart"/>
      <w:r w:rsidR="003211DB" w:rsidRPr="003211DB">
        <w:rPr>
          <w:rFonts w:ascii="Times New Roman" w:hAnsi="Times New Roman" w:cs="Times New Roman"/>
        </w:rPr>
        <w:t>tidak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melekat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secara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permanen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serta</w:t>
      </w:r>
      <w:proofErr w:type="spellEnd"/>
      <w:r w:rsidR="003211DB" w:rsidRPr="003211DB">
        <w:rPr>
          <w:rFonts w:ascii="Times New Roman" w:hAnsi="Times New Roman" w:cs="Times New Roman"/>
        </w:rPr>
        <w:t xml:space="preserve"> </w:t>
      </w:r>
      <w:proofErr w:type="spellStart"/>
      <w:r w:rsidR="003211DB" w:rsidRPr="003211DB">
        <w:rPr>
          <w:rFonts w:ascii="Times New Roman" w:hAnsi="Times New Roman" w:cs="Times New Roman"/>
        </w:rPr>
        <w:t>kendaraa</w:t>
      </w:r>
      <w:r w:rsidR="003211DB">
        <w:rPr>
          <w:rFonts w:ascii="Times New Roman" w:hAnsi="Times New Roman" w:cs="Times New Roman"/>
        </w:rPr>
        <w:t>n</w:t>
      </w:r>
      <w:proofErr w:type="spellEnd"/>
      <w:r w:rsidR="003211DB">
        <w:rPr>
          <w:rFonts w:ascii="Times New Roman" w:hAnsi="Times New Roman" w:cs="Times New Roman"/>
        </w:rPr>
        <w:t xml:space="preserve"> </w:t>
      </w:r>
      <w:proofErr w:type="spellStart"/>
      <w:r w:rsidR="003211DB">
        <w:rPr>
          <w:rFonts w:ascii="Times New Roman" w:hAnsi="Times New Roman" w:cs="Times New Roman"/>
        </w:rPr>
        <w:t>bermotor</w:t>
      </w:r>
      <w:proofErr w:type="spellEnd"/>
      <w:r w:rsidR="003211DB">
        <w:rPr>
          <w:rFonts w:ascii="Times New Roman" w:hAnsi="Times New Roman" w:cs="Times New Roman"/>
        </w:rPr>
        <w:t xml:space="preserve"> yang </w:t>
      </w:r>
      <w:proofErr w:type="spellStart"/>
      <w:r w:rsidR="003211DB">
        <w:rPr>
          <w:rFonts w:ascii="Times New Roman" w:hAnsi="Times New Roman" w:cs="Times New Roman"/>
        </w:rPr>
        <w:t>dioperasikan</w:t>
      </w:r>
      <w:proofErr w:type="spellEnd"/>
      <w:r w:rsidR="003211DB">
        <w:rPr>
          <w:rFonts w:ascii="Times New Roman" w:hAnsi="Times New Roman" w:cs="Times New Roman"/>
        </w:rPr>
        <w:t xml:space="preserve"> di </w:t>
      </w:r>
      <w:r w:rsidR="003211DB" w:rsidRPr="003211DB">
        <w:rPr>
          <w:rFonts w:ascii="Times New Roman" w:hAnsi="Times New Roman" w:cs="Times New Roman"/>
        </w:rPr>
        <w:t>air</w:t>
      </w:r>
      <w:r w:rsidR="003211DB">
        <w:rPr>
          <w:rFonts w:ascii="Times New Roman" w:hAnsi="Times New Roman" w:cs="Times New Roman"/>
        </w:rPr>
        <w:t>.</w:t>
      </w:r>
      <w:r w:rsidR="003211DB">
        <w:rPr>
          <w:rStyle w:val="FootnoteReference"/>
          <w:rFonts w:ascii="Times New Roman" w:hAnsi="Times New Roman" w:cs="Times New Roman"/>
        </w:rPr>
        <w:footnoteReference w:id="2"/>
      </w:r>
    </w:p>
    <w:p w14:paraId="14AF28A9" w14:textId="77777777" w:rsidR="0065309F" w:rsidRDefault="003211DB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Banyaknya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diakibatkan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dialokasikan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dianggarkan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maka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hal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ini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kurang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baik</w:t>
      </w:r>
      <w:proofErr w:type="spellEnd"/>
      <w:r w:rsidR="003721F2">
        <w:rPr>
          <w:rFonts w:ascii="Times New Roman" w:hAnsi="Times New Roman" w:cs="Times New Roman"/>
        </w:rPr>
        <w:t xml:space="preserve">, </w:t>
      </w:r>
      <w:proofErr w:type="spellStart"/>
      <w:r w:rsidR="003721F2">
        <w:rPr>
          <w:rFonts w:ascii="Times New Roman" w:hAnsi="Times New Roman" w:cs="Times New Roman"/>
        </w:rPr>
        <w:t>tidak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dapat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dicontoh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disatu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sisi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pemerintah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meminta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masyarakat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untuk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rajin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bayar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pajak</w:t>
      </w:r>
      <w:proofErr w:type="spellEnd"/>
      <w:r w:rsidR="003721F2">
        <w:rPr>
          <w:rFonts w:ascii="Times New Roman" w:hAnsi="Times New Roman" w:cs="Times New Roman"/>
        </w:rPr>
        <w:t xml:space="preserve"> dan </w:t>
      </w:r>
      <w:proofErr w:type="spellStart"/>
      <w:r w:rsidR="003721F2">
        <w:rPr>
          <w:rFonts w:ascii="Times New Roman" w:hAnsi="Times New Roman" w:cs="Times New Roman"/>
        </w:rPr>
        <w:t>disiplin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sementara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pemerintah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selaku</w:t>
      </w:r>
      <w:proofErr w:type="spellEnd"/>
      <w:r w:rsidR="003721F2">
        <w:rPr>
          <w:rFonts w:ascii="Times New Roman" w:hAnsi="Times New Roman" w:cs="Times New Roman"/>
        </w:rPr>
        <w:t xml:space="preserve"> regulator dan </w:t>
      </w:r>
      <w:proofErr w:type="spellStart"/>
      <w:r w:rsidR="003721F2">
        <w:rPr>
          <w:rFonts w:ascii="Times New Roman" w:hAnsi="Times New Roman" w:cs="Times New Roman"/>
        </w:rPr>
        <w:t>pelaksana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sendiri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lalai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akan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kewajiban</w:t>
      </w:r>
      <w:proofErr w:type="spellEnd"/>
      <w:r w:rsidR="003721F2">
        <w:rPr>
          <w:rFonts w:ascii="Times New Roman" w:hAnsi="Times New Roman" w:cs="Times New Roman"/>
        </w:rPr>
        <w:t xml:space="preserve"> </w:t>
      </w:r>
      <w:proofErr w:type="spellStart"/>
      <w:r w:rsidR="003721F2">
        <w:rPr>
          <w:rFonts w:ascii="Times New Roman" w:hAnsi="Times New Roman" w:cs="Times New Roman"/>
        </w:rPr>
        <w:t>tersebut</w:t>
      </w:r>
      <w:proofErr w:type="spellEnd"/>
      <w:r w:rsidR="003721F2">
        <w:rPr>
          <w:rFonts w:ascii="Times New Roman" w:hAnsi="Times New Roman" w:cs="Times New Roman"/>
        </w:rPr>
        <w:t xml:space="preserve">. </w:t>
      </w:r>
      <w:proofErr w:type="spellStart"/>
      <w:r w:rsidR="003721F2">
        <w:rPr>
          <w:rFonts w:ascii="Times New Roman" w:hAnsi="Times New Roman" w:cs="Times New Roman"/>
        </w:rPr>
        <w:t>hal</w:t>
      </w:r>
      <w:proofErr w:type="spellEnd"/>
      <w:r w:rsidR="00576F86">
        <w:rPr>
          <w:rFonts w:ascii="Times New Roman" w:hAnsi="Times New Roman" w:cs="Times New Roman"/>
        </w:rPr>
        <w:t xml:space="preserve"> </w:t>
      </w:r>
      <w:proofErr w:type="spellStart"/>
      <w:r w:rsidR="00576F86">
        <w:rPr>
          <w:rFonts w:ascii="Times New Roman" w:hAnsi="Times New Roman" w:cs="Times New Roman"/>
        </w:rPr>
        <w:t>ini</w:t>
      </w:r>
      <w:proofErr w:type="spellEnd"/>
      <w:r w:rsidR="00576F86">
        <w:rPr>
          <w:rFonts w:ascii="Times New Roman" w:hAnsi="Times New Roman" w:cs="Times New Roman"/>
        </w:rPr>
        <w:t xml:space="preserve"> </w:t>
      </w:r>
      <w:proofErr w:type="spellStart"/>
      <w:r w:rsidR="00576F86">
        <w:rPr>
          <w:rFonts w:ascii="Times New Roman" w:hAnsi="Times New Roman" w:cs="Times New Roman"/>
        </w:rPr>
        <w:t>tentunya</w:t>
      </w:r>
      <w:proofErr w:type="spellEnd"/>
      <w:r w:rsidR="00576F86">
        <w:rPr>
          <w:rFonts w:ascii="Times New Roman" w:hAnsi="Times New Roman" w:cs="Times New Roman"/>
        </w:rPr>
        <w:t xml:space="preserve"> </w:t>
      </w:r>
      <w:proofErr w:type="spellStart"/>
      <w:r w:rsidR="00576F86">
        <w:rPr>
          <w:rFonts w:ascii="Times New Roman" w:hAnsi="Times New Roman" w:cs="Times New Roman"/>
        </w:rPr>
        <w:t>kurang</w:t>
      </w:r>
      <w:proofErr w:type="spellEnd"/>
      <w:r w:rsidR="00576F86">
        <w:rPr>
          <w:rFonts w:ascii="Times New Roman" w:hAnsi="Times New Roman" w:cs="Times New Roman"/>
        </w:rPr>
        <w:t xml:space="preserve"> </w:t>
      </w:r>
      <w:proofErr w:type="spellStart"/>
      <w:r w:rsidR="00576F86">
        <w:rPr>
          <w:rFonts w:ascii="Times New Roman" w:hAnsi="Times New Roman" w:cs="Times New Roman"/>
        </w:rPr>
        <w:t>baik</w:t>
      </w:r>
      <w:proofErr w:type="spellEnd"/>
      <w:r w:rsidR="00576F86">
        <w:rPr>
          <w:rFonts w:ascii="Times New Roman" w:hAnsi="Times New Roman" w:cs="Times New Roman"/>
        </w:rPr>
        <w:t xml:space="preserve"> </w:t>
      </w:r>
      <w:proofErr w:type="spellStart"/>
      <w:r w:rsidR="00576F86">
        <w:rPr>
          <w:rFonts w:ascii="Times New Roman" w:hAnsi="Times New Roman" w:cs="Times New Roman"/>
        </w:rPr>
        <w:t>untuk</w:t>
      </w:r>
      <w:proofErr w:type="spellEnd"/>
      <w:r w:rsidR="00576F86">
        <w:rPr>
          <w:rFonts w:ascii="Times New Roman" w:hAnsi="Times New Roman" w:cs="Times New Roman"/>
        </w:rPr>
        <w:t>.</w:t>
      </w:r>
    </w:p>
    <w:p w14:paraId="1EB79BC3" w14:textId="77777777" w:rsidR="00576F86" w:rsidRPr="003211DB" w:rsidRDefault="00576F86" w:rsidP="00F367F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7E085D" w14:textId="77777777" w:rsidR="00541CAB" w:rsidRPr="005F503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7313BEE2" w14:textId="77777777" w:rsidR="00F76EBA" w:rsidRPr="00CE281D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CE281D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E4CDF" w14:textId="77777777" w:rsidR="00311C14" w:rsidRDefault="00311C14" w:rsidP="004373DC">
      <w:pPr>
        <w:spacing w:after="0" w:line="240" w:lineRule="auto"/>
      </w:pPr>
      <w:r>
        <w:separator/>
      </w:r>
    </w:p>
  </w:endnote>
  <w:endnote w:type="continuationSeparator" w:id="0">
    <w:p w14:paraId="4A6AB484" w14:textId="77777777" w:rsidR="00311C14" w:rsidRDefault="00311C14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CC56" w14:textId="77777777" w:rsidR="00311C14" w:rsidRDefault="00311C14" w:rsidP="004373DC">
      <w:pPr>
        <w:spacing w:after="0" w:line="240" w:lineRule="auto"/>
      </w:pPr>
      <w:r>
        <w:separator/>
      </w:r>
    </w:p>
  </w:footnote>
  <w:footnote w:type="continuationSeparator" w:id="0">
    <w:p w14:paraId="214BE238" w14:textId="77777777" w:rsidR="00311C14" w:rsidRDefault="00311C14" w:rsidP="004373DC">
      <w:pPr>
        <w:spacing w:after="0" w:line="240" w:lineRule="auto"/>
      </w:pPr>
      <w:r>
        <w:continuationSeparator/>
      </w:r>
    </w:p>
  </w:footnote>
  <w:footnote w:id="1">
    <w:p w14:paraId="34D83BAE" w14:textId="77777777" w:rsidR="003211DB" w:rsidRDefault="003211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12 UU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PDRB</w:t>
      </w:r>
    </w:p>
  </w:footnote>
  <w:footnote w:id="2">
    <w:p w14:paraId="66766364" w14:textId="77777777" w:rsidR="003211DB" w:rsidRDefault="003211DB" w:rsidP="003211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13 UU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PDRB</w:t>
      </w:r>
    </w:p>
    <w:p w14:paraId="66CFE3B8" w14:textId="77777777" w:rsidR="003211DB" w:rsidRDefault="003211D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3"/>
  </w:num>
  <w:num w:numId="14">
    <w:abstractNumId w:val="9"/>
  </w:num>
  <w:num w:numId="15">
    <w:abstractNumId w:val="19"/>
  </w:num>
  <w:num w:numId="16">
    <w:abstractNumId w:val="16"/>
  </w:num>
  <w:num w:numId="17">
    <w:abstractNumId w:val="6"/>
  </w:num>
  <w:num w:numId="18">
    <w:abstractNumId w:val="13"/>
  </w:num>
  <w:num w:numId="19">
    <w:abstractNumId w:val="17"/>
  </w:num>
  <w:num w:numId="20">
    <w:abstractNumId w:val="5"/>
  </w:num>
  <w:num w:numId="21">
    <w:abstractNumId w:val="11"/>
  </w:num>
  <w:num w:numId="22">
    <w:abstractNumId w:val="20"/>
  </w:num>
  <w:num w:numId="23">
    <w:abstractNumId w:val="7"/>
  </w:num>
  <w:num w:numId="24">
    <w:abstractNumId w:val="22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5DCA"/>
    <w:rsid w:val="00296B49"/>
    <w:rsid w:val="002C4A38"/>
    <w:rsid w:val="002C6DAF"/>
    <w:rsid w:val="002F4A2E"/>
    <w:rsid w:val="00301EBE"/>
    <w:rsid w:val="003119A3"/>
    <w:rsid w:val="00311C14"/>
    <w:rsid w:val="003211DB"/>
    <w:rsid w:val="00337778"/>
    <w:rsid w:val="00350EAD"/>
    <w:rsid w:val="00351664"/>
    <w:rsid w:val="003667B9"/>
    <w:rsid w:val="003721F2"/>
    <w:rsid w:val="003A2E33"/>
    <w:rsid w:val="003D0B4E"/>
    <w:rsid w:val="003E02E4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D168C"/>
    <w:rsid w:val="004F7800"/>
    <w:rsid w:val="00525E84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5037"/>
    <w:rsid w:val="006014FC"/>
    <w:rsid w:val="006023CF"/>
    <w:rsid w:val="0060307F"/>
    <w:rsid w:val="006069C9"/>
    <w:rsid w:val="00624734"/>
    <w:rsid w:val="00636AB7"/>
    <w:rsid w:val="0065309F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2279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ional.inews.id/berita/1400-kendaraan-dinas-milik-pemkab-lombok-tengah-menunggak-pajak/20/07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C45F-9E54-48C2-A766-07106747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2020-12-08T01:45:00Z</dcterms:created>
  <dcterms:modified xsi:type="dcterms:W3CDTF">2020-12-08T01:45:00Z</dcterms:modified>
</cp:coreProperties>
</file>