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29A2" w14:textId="77777777" w:rsidR="00984646" w:rsidRPr="00CE281D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4F80E95E" w14:textId="72605492" w:rsidR="00F20581" w:rsidRDefault="00B87BF9" w:rsidP="009E317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B87BF9">
        <w:rPr>
          <w:rFonts w:ascii="Times New Roman" w:hAnsi="Times New Roman" w:cs="Times New Roman"/>
          <w:b/>
          <w:color w:val="000000" w:themeColor="text1"/>
        </w:rPr>
        <w:t>Penjualan</w:t>
      </w:r>
      <w:proofErr w:type="spellEnd"/>
      <w:r w:rsidRPr="00B87BF9">
        <w:rPr>
          <w:rFonts w:ascii="Times New Roman" w:hAnsi="Times New Roman" w:cs="Times New Roman"/>
          <w:b/>
          <w:color w:val="000000" w:themeColor="text1"/>
        </w:rPr>
        <w:t xml:space="preserve"> Gili </w:t>
      </w:r>
      <w:proofErr w:type="spellStart"/>
      <w:r w:rsidRPr="00B87BF9">
        <w:rPr>
          <w:rFonts w:ascii="Times New Roman" w:hAnsi="Times New Roman" w:cs="Times New Roman"/>
          <w:b/>
          <w:color w:val="000000" w:themeColor="text1"/>
        </w:rPr>
        <w:t>Tangkong</w:t>
      </w:r>
      <w:proofErr w:type="spellEnd"/>
      <w:r w:rsidRPr="00B87BF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7BF9">
        <w:rPr>
          <w:rFonts w:ascii="Times New Roman" w:hAnsi="Times New Roman" w:cs="Times New Roman"/>
          <w:b/>
          <w:color w:val="000000" w:themeColor="text1"/>
        </w:rPr>
        <w:t>Mustahil</w:t>
      </w:r>
      <w:proofErr w:type="spellEnd"/>
      <w:r w:rsidRPr="00B87BF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7BF9">
        <w:rPr>
          <w:rFonts w:ascii="Times New Roman" w:hAnsi="Times New Roman" w:cs="Times New Roman"/>
          <w:b/>
          <w:color w:val="000000" w:themeColor="text1"/>
        </w:rPr>
        <w:t>Tanpa</w:t>
      </w:r>
      <w:proofErr w:type="spellEnd"/>
      <w:r w:rsidRPr="00B87BF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7BF9">
        <w:rPr>
          <w:rFonts w:ascii="Times New Roman" w:hAnsi="Times New Roman" w:cs="Times New Roman"/>
          <w:b/>
          <w:color w:val="000000" w:themeColor="text1"/>
        </w:rPr>
        <w:t>Persetujuan</w:t>
      </w:r>
      <w:proofErr w:type="spellEnd"/>
      <w:r w:rsidRPr="00B87BF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7BF9">
        <w:rPr>
          <w:rFonts w:ascii="Times New Roman" w:hAnsi="Times New Roman" w:cs="Times New Roman"/>
          <w:b/>
          <w:color w:val="000000" w:themeColor="text1"/>
        </w:rPr>
        <w:t>Pemda</w:t>
      </w:r>
      <w:proofErr w:type="spellEnd"/>
    </w:p>
    <w:p w14:paraId="74994AF0" w14:textId="77777777" w:rsidR="00263415" w:rsidRDefault="00263415" w:rsidP="009E317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F8599DC" w14:textId="77777777" w:rsidR="00B87BF9" w:rsidRDefault="00323604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7FECD429" wp14:editId="3B9424AD">
            <wp:extent cx="233362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li tanggkong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320AE" w14:textId="5F41251A" w:rsidR="00263415" w:rsidRPr="00263415" w:rsidRDefault="00C6190E" w:rsidP="00263415">
      <w:pPr>
        <w:spacing w:after="0" w:line="360" w:lineRule="auto"/>
        <w:jc w:val="center"/>
        <w:rPr>
          <w:color w:val="0563C1" w:themeColor="hyperlink"/>
          <w:u w:val="single"/>
        </w:rPr>
      </w:pPr>
      <w:r>
        <w:fldChar w:fldCharType="begin"/>
      </w:r>
      <w:r>
        <w:instrText xml:space="preserve"> HYPERLINK "https://www.bing.com/images/search?q=gili+tanggkong&amp;form=HDRSC2&amp;first=1&amp;tsc=ImageBasicHover" </w:instrText>
      </w:r>
      <w:r>
        <w:fldChar w:fldCharType="separate"/>
      </w:r>
      <w:proofErr w:type="spellStart"/>
      <w:r w:rsidR="00323604">
        <w:rPr>
          <w:rStyle w:val="Hyperlink"/>
        </w:rPr>
        <w:t>gili</w:t>
      </w:r>
      <w:proofErr w:type="spellEnd"/>
      <w:r w:rsidR="00323604">
        <w:rPr>
          <w:rStyle w:val="Hyperlink"/>
        </w:rPr>
        <w:t xml:space="preserve"> </w:t>
      </w:r>
      <w:proofErr w:type="spellStart"/>
      <w:r w:rsidR="00323604">
        <w:rPr>
          <w:rStyle w:val="Hyperlink"/>
        </w:rPr>
        <w:t>tanggkong</w:t>
      </w:r>
      <w:proofErr w:type="spellEnd"/>
      <w:r w:rsidR="00323604">
        <w:rPr>
          <w:rStyle w:val="Hyperlink"/>
        </w:rPr>
        <w:t xml:space="preserve"> - Bing images</w:t>
      </w:r>
      <w:r>
        <w:rPr>
          <w:rStyle w:val="Hyperlink"/>
        </w:rPr>
        <w:fldChar w:fldCharType="end"/>
      </w:r>
    </w:p>
    <w:p w14:paraId="1E6C8325" w14:textId="77777777" w:rsidR="00263415" w:rsidRDefault="00263415" w:rsidP="00B87BF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593369" w14:textId="52799C42" w:rsidR="00B87BF9" w:rsidRPr="00263415" w:rsidRDefault="00B87BF9" w:rsidP="002634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Lombok Barat (Inside Lombok) –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Beredar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kabar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dugaan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penjualan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Gili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Tangkong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aset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Nusa Tenggara Barat di Lobar.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Luasnya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72.723 meter</w:t>
      </w:r>
      <w:proofErr w:type="gram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persegi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yang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berlokasi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Sekotong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Lombok Barat.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ditawarkan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situs online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bernama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balivilasale.com.</w:t>
      </w:r>
    </w:p>
    <w:p w14:paraId="4F1629B9" w14:textId="77777777" w:rsidR="009820B9" w:rsidRPr="00263415" w:rsidRDefault="00B87BF9" w:rsidP="002634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seluas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66.000 meter</w:t>
      </w:r>
      <w:proofErr w:type="gram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persegi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Gili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Tangkong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ditawarkan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harga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 825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$53,020,566 US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dolar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situs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disebutkan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harga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dinegosiasi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tetapi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disebutkan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siapa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pihak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penawaran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04B6B3C" w14:textId="77777777" w:rsidR="00B87BF9" w:rsidRPr="00263415" w:rsidRDefault="00B87BF9" w:rsidP="002634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Walaupun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Gili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Tangkong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bukan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aset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pemda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Lobar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tetapi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lokasi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Gili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berada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wilayah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Barat.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permasalahan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turut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memancing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Bupati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Barat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ikut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angkat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bicara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85DAC26" w14:textId="77777777" w:rsidR="00B87BF9" w:rsidRPr="00263415" w:rsidRDefault="00B87BF9" w:rsidP="002634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Setahu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saya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aset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di-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beautycontest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-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pemenangnya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 kata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Bupati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Barat, H.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Fauzan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Khalid,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ditemui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usai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menghadiri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acara di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kantor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Lembar, Rabu (09/09/2020).</w:t>
      </w:r>
    </w:p>
    <w:p w14:paraId="0CA1EEFF" w14:textId="77777777" w:rsidR="00B87BF9" w:rsidRPr="00263415" w:rsidRDefault="00B87BF9" w:rsidP="002634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dirinya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menyebutkan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sebenarnya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siapapun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ingin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mengiklankan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aset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termasuk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milik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Pemda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boleh-boleh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saja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tetapi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perlu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dibuktikan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dulu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kebenarannya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Terlebih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sambung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Fauzan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yang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pasti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transaksinya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nanti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tetap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melibatkan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Pemda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beserta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notaris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B5A6129" w14:textId="77777777" w:rsidR="00B87BF9" w:rsidRPr="00263415" w:rsidRDefault="00B87BF9" w:rsidP="002634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“Jadi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penjualan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orang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mengiklankan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boleh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Tapi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ketika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transaksi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Pemda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notaris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terlibat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nah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apabila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hal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di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sana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lah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cut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dia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tegasnya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Fauzan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54E4866" w14:textId="77CB07AF" w:rsidR="00B87BF9" w:rsidRPr="00263415" w:rsidRDefault="00B87BF9" w:rsidP="002634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Sehingga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dirinya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menyebutkan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transaksi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jual-belinya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tetap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melibatkan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Pemda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hal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Pemda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membatalkan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transaksi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sekiranya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memang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melanggar</w:t>
      </w:r>
      <w:proofErr w:type="spellEnd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aturan</w:t>
      </w:r>
      <w:proofErr w:type="spellEnd"/>
      <w:r w:rsidR="00263415" w:rsidRPr="0026341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BABC864" w14:textId="78336DAE" w:rsidR="00263415" w:rsidRDefault="00263415" w:rsidP="00B87BF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AC528C" w14:textId="77777777" w:rsidR="00263415" w:rsidRPr="005F5037" w:rsidRDefault="00263415" w:rsidP="0026341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14:paraId="2BE7B1F5" w14:textId="007B1262" w:rsidR="00263415" w:rsidRPr="00263415" w:rsidRDefault="00263415" w:rsidP="00263415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cstheme="minorHAnsi"/>
        </w:rPr>
      </w:pPr>
      <w:hyperlink r:id="rId9" w:history="1">
        <w:r w:rsidRPr="00263415">
          <w:rPr>
            <w:rStyle w:val="Hyperlink"/>
            <w:rFonts w:cstheme="minorHAnsi"/>
          </w:rPr>
          <w:t>https://insidelombok.id/berita-utama/penjualan-gili-tangkong-mustahil-tanpa-persetujuan-pemda/</w:t>
        </w:r>
      </w:hyperlink>
      <w:r w:rsidRPr="00263415">
        <w:rPr>
          <w:rFonts w:cstheme="minorHAnsi"/>
        </w:rPr>
        <w:t>09/09/2020; dan</w:t>
      </w:r>
    </w:p>
    <w:p w14:paraId="72A2C976" w14:textId="77777777" w:rsidR="00263415" w:rsidRPr="00263415" w:rsidRDefault="00263415" w:rsidP="00263415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cstheme="minorHAnsi"/>
        </w:rPr>
      </w:pPr>
      <w:hyperlink r:id="rId10" w:history="1">
        <w:r w:rsidRPr="00263415">
          <w:rPr>
            <w:rFonts w:cstheme="minorHAnsi"/>
          </w:rPr>
          <w:t>https://www.suarantb.com/lama-terbengkalai-pulau-kecil-di-lobar-diduga-dikuasai-perorangan-hingga-perusahaan//09/09/2020</w:t>
        </w:r>
      </w:hyperlink>
      <w:r w:rsidRPr="00263415">
        <w:rPr>
          <w:rFonts w:cstheme="minorHAnsi"/>
        </w:rPr>
        <w:t xml:space="preserve">; </w:t>
      </w:r>
    </w:p>
    <w:p w14:paraId="773C371C" w14:textId="77777777" w:rsidR="009820B9" w:rsidRDefault="009820B9" w:rsidP="0026341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5C1B2701" w14:textId="77777777"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14:paraId="18B438B1" w14:textId="77777777" w:rsidR="00323604" w:rsidRDefault="00323604" w:rsidP="007D08E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Pengelolaan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Aset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merupakan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rangkaian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kegiatan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mulai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perencanaan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pengadaan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penggunaan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pengamanan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pemeliharaan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penghapusan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pemindahtanganan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penatausahaan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pelaporan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penilaian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pembinaan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pengawasan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pengendalian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aset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323604">
        <w:rPr>
          <w:rFonts w:ascii="Times New Roman" w:hAnsi="Times New Roman" w:cs="Times New Roman"/>
        </w:rPr>
        <w:t>.</w:t>
      </w:r>
      <w:r>
        <w:rPr>
          <w:rStyle w:val="EndnoteReference"/>
          <w:rFonts w:ascii="Times New Roman" w:hAnsi="Times New Roman" w:cs="Times New Roman"/>
        </w:rPr>
        <w:endnoteReference w:id="1"/>
      </w:r>
      <w:r w:rsidRPr="00323604">
        <w:rPr>
          <w:rFonts w:ascii="Times New Roman" w:hAnsi="Times New Roman" w:cs="Times New Roman"/>
        </w:rPr>
        <w:t xml:space="preserve"> </w:t>
      </w:r>
    </w:p>
    <w:p w14:paraId="54EFA448" w14:textId="77777777" w:rsidR="00323604" w:rsidRPr="00263415" w:rsidRDefault="00323604" w:rsidP="007D08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prinsip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BMD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Permendagri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19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2016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Pedoman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Pengelolaan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BMD,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menyatakan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bahwa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>:</w:t>
      </w:r>
    </w:p>
    <w:p w14:paraId="087E5106" w14:textId="52DAC0E9" w:rsidR="00323604" w:rsidRPr="00263415" w:rsidRDefault="00323604" w:rsidP="00263415">
      <w:pPr>
        <w:pStyle w:val="ListParagraph"/>
        <w:numPr>
          <w:ilvl w:val="0"/>
          <w:numId w:val="30"/>
        </w:numPr>
        <w:spacing w:after="0" w:line="360" w:lineRule="auto"/>
        <w:ind w:left="450" w:hanging="450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Pengelola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persetujuan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Gubernur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/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Bupati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>/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Walikota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berada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penguasaan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Pengelola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>;</w:t>
      </w:r>
    </w:p>
    <w:p w14:paraId="70F7181C" w14:textId="77777777" w:rsidR="00323604" w:rsidRPr="00263415" w:rsidRDefault="00323604" w:rsidP="00263415">
      <w:pPr>
        <w:pStyle w:val="ListParagraph"/>
        <w:numPr>
          <w:ilvl w:val="0"/>
          <w:numId w:val="30"/>
        </w:numPr>
        <w:spacing w:after="0" w:line="360" w:lineRule="auto"/>
        <w:ind w:left="450" w:hanging="450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Pengguna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persetujuan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Pengelola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berupa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sebagian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tanah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dan/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bangunan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masih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digunakan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Pengguna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selain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tanah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dan/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bangunan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>;</w:t>
      </w:r>
    </w:p>
    <w:p w14:paraId="5264EE92" w14:textId="77777777" w:rsidR="00323604" w:rsidRPr="00263415" w:rsidRDefault="00323604" w:rsidP="00263415">
      <w:pPr>
        <w:pStyle w:val="ListParagraph"/>
        <w:numPr>
          <w:ilvl w:val="0"/>
          <w:numId w:val="30"/>
        </w:numPr>
        <w:spacing w:after="0" w:line="360" w:lineRule="auto"/>
        <w:ind w:left="450" w:hanging="450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dilaksanakan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pertimbangan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teknis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memperhatikan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kepentingan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kepentingan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>.</w:t>
      </w:r>
    </w:p>
    <w:p w14:paraId="05212F62" w14:textId="77777777" w:rsidR="00323604" w:rsidRPr="00263415" w:rsidRDefault="00323604" w:rsidP="00263415">
      <w:pPr>
        <w:pStyle w:val="ListParagraph"/>
        <w:numPr>
          <w:ilvl w:val="0"/>
          <w:numId w:val="30"/>
        </w:numPr>
        <w:spacing w:after="0" w:line="360" w:lineRule="auto"/>
        <w:ind w:left="450" w:hanging="450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dapat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sepanjang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mengganggu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tugas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fungsi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penyelenggaraan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pemerintahan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>.</w:t>
      </w:r>
    </w:p>
    <w:p w14:paraId="65237BFF" w14:textId="77777777" w:rsidR="00323604" w:rsidRDefault="00323604" w:rsidP="00263415">
      <w:pPr>
        <w:pStyle w:val="ListParagraph"/>
        <w:numPr>
          <w:ilvl w:val="0"/>
          <w:numId w:val="30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</w:rPr>
      </w:pP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tanpa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memerlukan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persetujuan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DPRD</w:t>
      </w:r>
      <w:r w:rsidRPr="00323604">
        <w:rPr>
          <w:rFonts w:ascii="Times New Roman" w:hAnsi="Times New Roman" w:cs="Times New Roman"/>
        </w:rPr>
        <w:t>.</w:t>
      </w:r>
      <w:r w:rsidR="00DE6679">
        <w:rPr>
          <w:rStyle w:val="EndnoteReference"/>
          <w:rFonts w:ascii="Times New Roman" w:hAnsi="Times New Roman" w:cs="Times New Roman"/>
        </w:rPr>
        <w:endnoteReference w:id="2"/>
      </w:r>
    </w:p>
    <w:p w14:paraId="1D58C4B9" w14:textId="77777777" w:rsidR="00E114E8" w:rsidRPr="00263415" w:rsidRDefault="00E114E8" w:rsidP="002634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Bentuk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Pemanfaatan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milik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berupa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>:</w:t>
      </w:r>
    </w:p>
    <w:p w14:paraId="717FB3F0" w14:textId="77777777" w:rsidR="00E114E8" w:rsidRPr="00263415" w:rsidRDefault="00E114E8" w:rsidP="00263415">
      <w:pPr>
        <w:pStyle w:val="ListParagraph"/>
        <w:numPr>
          <w:ilvl w:val="0"/>
          <w:numId w:val="32"/>
        </w:numPr>
        <w:spacing w:after="0" w:line="360" w:lineRule="auto"/>
        <w:ind w:left="450" w:hanging="450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Sewa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>;</w:t>
      </w:r>
    </w:p>
    <w:p w14:paraId="4B26EA02" w14:textId="77777777" w:rsidR="00E114E8" w:rsidRPr="00263415" w:rsidRDefault="00E114E8" w:rsidP="00263415">
      <w:pPr>
        <w:pStyle w:val="ListParagraph"/>
        <w:numPr>
          <w:ilvl w:val="0"/>
          <w:numId w:val="32"/>
        </w:numPr>
        <w:spacing w:after="0" w:line="360" w:lineRule="auto"/>
        <w:ind w:left="450" w:hanging="450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Pinjam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Pakai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>;</w:t>
      </w:r>
    </w:p>
    <w:p w14:paraId="2EEC3741" w14:textId="77777777" w:rsidR="00E114E8" w:rsidRPr="00263415" w:rsidRDefault="00E114E8" w:rsidP="00263415">
      <w:pPr>
        <w:pStyle w:val="ListParagraph"/>
        <w:numPr>
          <w:ilvl w:val="0"/>
          <w:numId w:val="32"/>
        </w:numPr>
        <w:spacing w:after="0" w:line="360" w:lineRule="auto"/>
        <w:ind w:left="450" w:hanging="450"/>
        <w:jc w:val="both"/>
        <w:rPr>
          <w:rFonts w:ascii="Times New Roman" w:eastAsia="Times New Roman" w:hAnsi="Times New Roman" w:cs="Times New Roman"/>
          <w:lang w:eastAsia="id-ID"/>
        </w:rPr>
      </w:pPr>
      <w:r w:rsidRPr="00263415">
        <w:rPr>
          <w:rFonts w:ascii="Times New Roman" w:eastAsia="Times New Roman" w:hAnsi="Times New Roman" w:cs="Times New Roman"/>
          <w:lang w:eastAsia="id-ID"/>
        </w:rPr>
        <w:t>KSP;</w:t>
      </w:r>
    </w:p>
    <w:p w14:paraId="37107B00" w14:textId="77777777" w:rsidR="00E114E8" w:rsidRPr="00263415" w:rsidRDefault="00E114E8" w:rsidP="00263415">
      <w:pPr>
        <w:pStyle w:val="ListParagraph"/>
        <w:numPr>
          <w:ilvl w:val="0"/>
          <w:numId w:val="32"/>
        </w:numPr>
        <w:spacing w:after="0" w:line="360" w:lineRule="auto"/>
        <w:ind w:left="450" w:hanging="450"/>
        <w:jc w:val="both"/>
        <w:rPr>
          <w:rFonts w:ascii="Times New Roman" w:eastAsia="Times New Roman" w:hAnsi="Times New Roman" w:cs="Times New Roman"/>
          <w:lang w:eastAsia="id-ID"/>
        </w:rPr>
      </w:pPr>
      <w:r w:rsidRPr="00263415">
        <w:rPr>
          <w:rFonts w:ascii="Times New Roman" w:eastAsia="Times New Roman" w:hAnsi="Times New Roman" w:cs="Times New Roman"/>
          <w:lang w:eastAsia="id-ID"/>
        </w:rPr>
        <w:t xml:space="preserve">BGS </w:t>
      </w:r>
      <w:proofErr w:type="spellStart"/>
      <w:r w:rsidRPr="00263415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263415">
        <w:rPr>
          <w:rFonts w:ascii="Times New Roman" w:eastAsia="Times New Roman" w:hAnsi="Times New Roman" w:cs="Times New Roman"/>
          <w:lang w:eastAsia="id-ID"/>
        </w:rPr>
        <w:t xml:space="preserve"> BSG; dan</w:t>
      </w:r>
    </w:p>
    <w:p w14:paraId="0E4B864B" w14:textId="77777777" w:rsidR="00E114E8" w:rsidRDefault="00E114E8" w:rsidP="00E114E8">
      <w:pPr>
        <w:pStyle w:val="ListParagraph"/>
        <w:numPr>
          <w:ilvl w:val="0"/>
          <w:numId w:val="3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E114E8">
        <w:rPr>
          <w:rFonts w:ascii="Times New Roman" w:hAnsi="Times New Roman" w:cs="Times New Roman"/>
        </w:rPr>
        <w:t>KSPI.</w:t>
      </w:r>
      <w:r>
        <w:rPr>
          <w:rStyle w:val="EndnoteReference"/>
          <w:rFonts w:ascii="Times New Roman" w:hAnsi="Times New Roman" w:cs="Times New Roman"/>
        </w:rPr>
        <w:endnoteReference w:id="3"/>
      </w:r>
    </w:p>
    <w:p w14:paraId="026BB62E" w14:textId="77777777" w:rsidR="00E114E8" w:rsidRPr="00323604" w:rsidRDefault="00E114E8" w:rsidP="00E114E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14:paraId="10C9FD66" w14:textId="77777777" w:rsidR="00316878" w:rsidRPr="00660891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300AF651" w14:textId="77777777" w:rsidR="00316878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2F98471C" w14:textId="77777777" w:rsidR="00F76EBA" w:rsidRPr="00AD00B7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Endnote</w:t>
      </w:r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/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Catatan</w:t>
      </w:r>
      <w:proofErr w:type="spellEnd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Akhir</w:t>
      </w:r>
    </w:p>
    <w:sectPr w:rsidR="00F76EBA" w:rsidRPr="00AD00B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8764E" w14:textId="77777777" w:rsidR="00C6190E" w:rsidRDefault="00C6190E" w:rsidP="004373DC">
      <w:pPr>
        <w:spacing w:after="0" w:line="240" w:lineRule="auto"/>
      </w:pPr>
      <w:r>
        <w:separator/>
      </w:r>
    </w:p>
  </w:endnote>
  <w:endnote w:type="continuationSeparator" w:id="0">
    <w:p w14:paraId="330268C8" w14:textId="77777777" w:rsidR="00C6190E" w:rsidRDefault="00C6190E" w:rsidP="004373DC">
      <w:pPr>
        <w:spacing w:after="0" w:line="240" w:lineRule="auto"/>
      </w:pPr>
      <w:r>
        <w:continuationSeparator/>
      </w:r>
    </w:p>
  </w:endnote>
  <w:endnote w:id="1">
    <w:p w14:paraId="3305FE22" w14:textId="77777777" w:rsidR="00323604" w:rsidRDefault="00323604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 w:rsidRPr="00323604">
        <w:t>Peraturan</w:t>
      </w:r>
      <w:proofErr w:type="spellEnd"/>
      <w:r w:rsidRPr="00323604">
        <w:t xml:space="preserve"> Menteri </w:t>
      </w:r>
      <w:proofErr w:type="spellStart"/>
      <w:r w:rsidRPr="00323604">
        <w:t>Dalam</w:t>
      </w:r>
      <w:proofErr w:type="spellEnd"/>
      <w:r w:rsidRPr="00323604">
        <w:t xml:space="preserve"> Negeri </w:t>
      </w:r>
      <w:proofErr w:type="spellStart"/>
      <w:r w:rsidRPr="00323604">
        <w:t>Republik</w:t>
      </w:r>
      <w:proofErr w:type="spellEnd"/>
      <w:r w:rsidRPr="00323604">
        <w:t xml:space="preserve"> Indonesia </w:t>
      </w:r>
      <w:proofErr w:type="spellStart"/>
      <w:r>
        <w:t>Nomor</w:t>
      </w:r>
      <w:proofErr w:type="spellEnd"/>
      <w:r>
        <w:t xml:space="preserve"> 19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Pasal</w:t>
      </w:r>
      <w:proofErr w:type="spellEnd"/>
      <w:r>
        <w:t xml:space="preserve"> 1 Angka 8 </w:t>
      </w:r>
      <w:proofErr w:type="spellStart"/>
      <w:r w:rsidRPr="00323604">
        <w:t>Tentang</w:t>
      </w:r>
      <w:proofErr w:type="spellEnd"/>
      <w:r w:rsidRPr="00323604"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Milik Daerah, </w:t>
      </w:r>
    </w:p>
  </w:endnote>
  <w:endnote w:id="2">
    <w:p w14:paraId="07F33FFD" w14:textId="77777777" w:rsidR="00DE6679" w:rsidRDefault="00DE6679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Pasal</w:t>
      </w:r>
      <w:proofErr w:type="spellEnd"/>
      <w:r>
        <w:t xml:space="preserve"> 78 </w:t>
      </w:r>
      <w:proofErr w:type="spellStart"/>
      <w:r>
        <w:t>angka</w:t>
      </w:r>
      <w:proofErr w:type="spellEnd"/>
      <w:r>
        <w:t xml:space="preserve"> 1 </w:t>
      </w:r>
      <w:proofErr w:type="spellStart"/>
      <w:r w:rsidRPr="00323604">
        <w:t>Peraturan</w:t>
      </w:r>
      <w:proofErr w:type="spellEnd"/>
      <w:r w:rsidRPr="00323604">
        <w:t xml:space="preserve"> Menteri </w:t>
      </w:r>
      <w:proofErr w:type="spellStart"/>
      <w:r w:rsidRPr="00323604">
        <w:t>Dalam</w:t>
      </w:r>
      <w:proofErr w:type="spellEnd"/>
      <w:r w:rsidRPr="00323604">
        <w:t xml:space="preserve"> Negeri </w:t>
      </w:r>
      <w:proofErr w:type="spellStart"/>
      <w:r w:rsidRPr="00323604">
        <w:t>Republik</w:t>
      </w:r>
      <w:proofErr w:type="spellEnd"/>
      <w:r w:rsidRPr="00323604">
        <w:t xml:space="preserve"> Indonesia </w:t>
      </w:r>
      <w:proofErr w:type="spellStart"/>
      <w:r>
        <w:t>Nomor</w:t>
      </w:r>
      <w:proofErr w:type="spellEnd"/>
      <w:r>
        <w:t xml:space="preserve"> 19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Pasal</w:t>
      </w:r>
      <w:proofErr w:type="spellEnd"/>
      <w:r>
        <w:t xml:space="preserve"> 1 Angka 8 </w:t>
      </w:r>
      <w:proofErr w:type="spellStart"/>
      <w:r w:rsidRPr="00323604">
        <w:t>Tentang</w:t>
      </w:r>
      <w:proofErr w:type="spellEnd"/>
      <w:r w:rsidRPr="00323604"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Milik Daerah</w:t>
      </w:r>
    </w:p>
  </w:endnote>
  <w:endnote w:id="3">
    <w:p w14:paraId="19EA7406" w14:textId="77777777" w:rsidR="00E114E8" w:rsidRDefault="00E114E8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Pasal</w:t>
      </w:r>
      <w:proofErr w:type="spellEnd"/>
      <w:r>
        <w:t xml:space="preserve"> 81 </w:t>
      </w:r>
      <w:proofErr w:type="spellStart"/>
      <w:r w:rsidRPr="00323604">
        <w:t>Peraturan</w:t>
      </w:r>
      <w:proofErr w:type="spellEnd"/>
      <w:r w:rsidRPr="00323604">
        <w:t xml:space="preserve"> Menteri </w:t>
      </w:r>
      <w:proofErr w:type="spellStart"/>
      <w:r w:rsidRPr="00323604">
        <w:t>Dalam</w:t>
      </w:r>
      <w:proofErr w:type="spellEnd"/>
      <w:r w:rsidRPr="00323604">
        <w:t xml:space="preserve"> Negeri </w:t>
      </w:r>
      <w:proofErr w:type="spellStart"/>
      <w:r w:rsidRPr="00323604">
        <w:t>Republik</w:t>
      </w:r>
      <w:proofErr w:type="spellEnd"/>
      <w:r w:rsidRPr="00323604">
        <w:t xml:space="preserve"> Indonesia </w:t>
      </w:r>
      <w:proofErr w:type="spellStart"/>
      <w:r>
        <w:t>Nomor</w:t>
      </w:r>
      <w:proofErr w:type="spellEnd"/>
      <w:r>
        <w:t xml:space="preserve"> 19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Pasal</w:t>
      </w:r>
      <w:proofErr w:type="spellEnd"/>
      <w:r>
        <w:t xml:space="preserve"> 1 Angka 8 </w:t>
      </w:r>
      <w:proofErr w:type="spellStart"/>
      <w:r w:rsidRPr="00323604">
        <w:t>Tentang</w:t>
      </w:r>
      <w:proofErr w:type="spellEnd"/>
      <w:r w:rsidRPr="00323604"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Milik Daerah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E97DF" w14:textId="77777777" w:rsidR="00C6190E" w:rsidRDefault="00C6190E" w:rsidP="004373DC">
      <w:pPr>
        <w:spacing w:after="0" w:line="240" w:lineRule="auto"/>
      </w:pPr>
      <w:r>
        <w:separator/>
      </w:r>
    </w:p>
  </w:footnote>
  <w:footnote w:type="continuationSeparator" w:id="0">
    <w:p w14:paraId="4EE4258A" w14:textId="77777777" w:rsidR="00C6190E" w:rsidRDefault="00C6190E" w:rsidP="0043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6BF6"/>
    <w:multiLevelType w:val="hybridMultilevel"/>
    <w:tmpl w:val="3176C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301DA"/>
    <w:multiLevelType w:val="hybridMultilevel"/>
    <w:tmpl w:val="7B1A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C0528"/>
    <w:multiLevelType w:val="hybridMultilevel"/>
    <w:tmpl w:val="FC1A2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043BC"/>
    <w:multiLevelType w:val="hybridMultilevel"/>
    <w:tmpl w:val="A4E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B7216B"/>
    <w:multiLevelType w:val="hybridMultilevel"/>
    <w:tmpl w:val="FC1A2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5309E9"/>
    <w:multiLevelType w:val="hybridMultilevel"/>
    <w:tmpl w:val="C95C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5"/>
  </w:num>
  <w:num w:numId="4">
    <w:abstractNumId w:val="3"/>
  </w:num>
  <w:num w:numId="5">
    <w:abstractNumId w:val="12"/>
  </w:num>
  <w:num w:numId="6">
    <w:abstractNumId w:val="17"/>
  </w:num>
  <w:num w:numId="7">
    <w:abstractNumId w:val="10"/>
  </w:num>
  <w:num w:numId="8">
    <w:abstractNumId w:val="0"/>
  </w:num>
  <w:num w:numId="9">
    <w:abstractNumId w:val="30"/>
  </w:num>
  <w:num w:numId="10">
    <w:abstractNumId w:val="1"/>
  </w:num>
  <w:num w:numId="11">
    <w:abstractNumId w:val="27"/>
  </w:num>
  <w:num w:numId="12">
    <w:abstractNumId w:val="18"/>
  </w:num>
  <w:num w:numId="13">
    <w:abstractNumId w:val="4"/>
  </w:num>
  <w:num w:numId="14">
    <w:abstractNumId w:val="11"/>
  </w:num>
  <w:num w:numId="15">
    <w:abstractNumId w:val="23"/>
  </w:num>
  <w:num w:numId="16">
    <w:abstractNumId w:val="19"/>
  </w:num>
  <w:num w:numId="17">
    <w:abstractNumId w:val="8"/>
  </w:num>
  <w:num w:numId="18">
    <w:abstractNumId w:val="16"/>
  </w:num>
  <w:num w:numId="19">
    <w:abstractNumId w:val="21"/>
  </w:num>
  <w:num w:numId="20">
    <w:abstractNumId w:val="6"/>
  </w:num>
  <w:num w:numId="21">
    <w:abstractNumId w:val="13"/>
  </w:num>
  <w:num w:numId="22">
    <w:abstractNumId w:val="24"/>
  </w:num>
  <w:num w:numId="23">
    <w:abstractNumId w:val="9"/>
  </w:num>
  <w:num w:numId="24">
    <w:abstractNumId w:val="26"/>
  </w:num>
  <w:num w:numId="25">
    <w:abstractNumId w:val="22"/>
  </w:num>
  <w:num w:numId="26">
    <w:abstractNumId w:val="5"/>
  </w:num>
  <w:num w:numId="27">
    <w:abstractNumId w:val="31"/>
  </w:num>
  <w:num w:numId="28">
    <w:abstractNumId w:val="20"/>
  </w:num>
  <w:num w:numId="29">
    <w:abstractNumId w:val="7"/>
  </w:num>
  <w:num w:numId="30">
    <w:abstractNumId w:val="15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4EC2"/>
    <w:rsid w:val="000A1454"/>
    <w:rsid w:val="000A54B2"/>
    <w:rsid w:val="000C2B27"/>
    <w:rsid w:val="000C3750"/>
    <w:rsid w:val="000E2493"/>
    <w:rsid w:val="000E62FF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05C00"/>
    <w:rsid w:val="002173FD"/>
    <w:rsid w:val="002220E1"/>
    <w:rsid w:val="00225F17"/>
    <w:rsid w:val="0025618B"/>
    <w:rsid w:val="00263415"/>
    <w:rsid w:val="00295DCA"/>
    <w:rsid w:val="00296B49"/>
    <w:rsid w:val="002C4A38"/>
    <w:rsid w:val="002C6DAF"/>
    <w:rsid w:val="002D25F9"/>
    <w:rsid w:val="00301EBE"/>
    <w:rsid w:val="003119A3"/>
    <w:rsid w:val="0031483C"/>
    <w:rsid w:val="00316878"/>
    <w:rsid w:val="003211DB"/>
    <w:rsid w:val="00323604"/>
    <w:rsid w:val="00337778"/>
    <w:rsid w:val="00350EAD"/>
    <w:rsid w:val="00351664"/>
    <w:rsid w:val="003667B9"/>
    <w:rsid w:val="003721F2"/>
    <w:rsid w:val="00381C0D"/>
    <w:rsid w:val="003A2E33"/>
    <w:rsid w:val="003D0B4E"/>
    <w:rsid w:val="003E02E4"/>
    <w:rsid w:val="003F1339"/>
    <w:rsid w:val="003F7C46"/>
    <w:rsid w:val="0040569B"/>
    <w:rsid w:val="00421A7D"/>
    <w:rsid w:val="00424A35"/>
    <w:rsid w:val="00427EE9"/>
    <w:rsid w:val="00437370"/>
    <w:rsid w:val="004373DC"/>
    <w:rsid w:val="00443BFE"/>
    <w:rsid w:val="004448CC"/>
    <w:rsid w:val="00446112"/>
    <w:rsid w:val="00453231"/>
    <w:rsid w:val="004603B2"/>
    <w:rsid w:val="00480515"/>
    <w:rsid w:val="00483FF8"/>
    <w:rsid w:val="00487FAF"/>
    <w:rsid w:val="004A1A93"/>
    <w:rsid w:val="004A1F45"/>
    <w:rsid w:val="004A5D4A"/>
    <w:rsid w:val="004C2004"/>
    <w:rsid w:val="004C5C7B"/>
    <w:rsid w:val="004D168C"/>
    <w:rsid w:val="004F7800"/>
    <w:rsid w:val="005025D5"/>
    <w:rsid w:val="00525E84"/>
    <w:rsid w:val="0053232E"/>
    <w:rsid w:val="00537CDB"/>
    <w:rsid w:val="00541CAB"/>
    <w:rsid w:val="00543DAC"/>
    <w:rsid w:val="00553F22"/>
    <w:rsid w:val="00565D53"/>
    <w:rsid w:val="00576F86"/>
    <w:rsid w:val="005B1DAD"/>
    <w:rsid w:val="005B482C"/>
    <w:rsid w:val="005D1030"/>
    <w:rsid w:val="005D76E8"/>
    <w:rsid w:val="005E7074"/>
    <w:rsid w:val="005F2672"/>
    <w:rsid w:val="005F5037"/>
    <w:rsid w:val="006014FC"/>
    <w:rsid w:val="006023CF"/>
    <w:rsid w:val="0060307F"/>
    <w:rsid w:val="006069C9"/>
    <w:rsid w:val="00624734"/>
    <w:rsid w:val="00636AB7"/>
    <w:rsid w:val="0065309F"/>
    <w:rsid w:val="00660891"/>
    <w:rsid w:val="006651B3"/>
    <w:rsid w:val="006730B3"/>
    <w:rsid w:val="006912A3"/>
    <w:rsid w:val="0069630C"/>
    <w:rsid w:val="006A2E1B"/>
    <w:rsid w:val="006C456B"/>
    <w:rsid w:val="006D0A3B"/>
    <w:rsid w:val="006D1162"/>
    <w:rsid w:val="006D1A3C"/>
    <w:rsid w:val="006E0CB6"/>
    <w:rsid w:val="006F10F0"/>
    <w:rsid w:val="00707D1E"/>
    <w:rsid w:val="00766EE3"/>
    <w:rsid w:val="00766EE9"/>
    <w:rsid w:val="007B7895"/>
    <w:rsid w:val="007C30C1"/>
    <w:rsid w:val="007D08E6"/>
    <w:rsid w:val="007E0392"/>
    <w:rsid w:val="00805363"/>
    <w:rsid w:val="0083286E"/>
    <w:rsid w:val="008662B3"/>
    <w:rsid w:val="00867D9B"/>
    <w:rsid w:val="00877F01"/>
    <w:rsid w:val="008A4140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20B9"/>
    <w:rsid w:val="00984646"/>
    <w:rsid w:val="00997D83"/>
    <w:rsid w:val="009B4398"/>
    <w:rsid w:val="009C4013"/>
    <w:rsid w:val="009E123E"/>
    <w:rsid w:val="009E3171"/>
    <w:rsid w:val="00A01980"/>
    <w:rsid w:val="00A13CFB"/>
    <w:rsid w:val="00A167A5"/>
    <w:rsid w:val="00A23E1B"/>
    <w:rsid w:val="00A2613E"/>
    <w:rsid w:val="00A43242"/>
    <w:rsid w:val="00A45C09"/>
    <w:rsid w:val="00A547BB"/>
    <w:rsid w:val="00A621EB"/>
    <w:rsid w:val="00A9085C"/>
    <w:rsid w:val="00A91A8A"/>
    <w:rsid w:val="00AA0F68"/>
    <w:rsid w:val="00AC63C5"/>
    <w:rsid w:val="00AD00B7"/>
    <w:rsid w:val="00AD30D9"/>
    <w:rsid w:val="00AF1107"/>
    <w:rsid w:val="00B12CE8"/>
    <w:rsid w:val="00B13B6C"/>
    <w:rsid w:val="00B16773"/>
    <w:rsid w:val="00B23773"/>
    <w:rsid w:val="00B3269D"/>
    <w:rsid w:val="00B533D7"/>
    <w:rsid w:val="00B61129"/>
    <w:rsid w:val="00B6185A"/>
    <w:rsid w:val="00B64A3C"/>
    <w:rsid w:val="00B75D34"/>
    <w:rsid w:val="00B81FB6"/>
    <w:rsid w:val="00B87BF9"/>
    <w:rsid w:val="00BA1139"/>
    <w:rsid w:val="00BB2972"/>
    <w:rsid w:val="00BD41F1"/>
    <w:rsid w:val="00BE019B"/>
    <w:rsid w:val="00BE76DF"/>
    <w:rsid w:val="00BF20A6"/>
    <w:rsid w:val="00BF7F50"/>
    <w:rsid w:val="00C017A4"/>
    <w:rsid w:val="00C420DD"/>
    <w:rsid w:val="00C6190E"/>
    <w:rsid w:val="00C84AE8"/>
    <w:rsid w:val="00CB0F2F"/>
    <w:rsid w:val="00CB40F7"/>
    <w:rsid w:val="00CD7090"/>
    <w:rsid w:val="00CD73E0"/>
    <w:rsid w:val="00CE281D"/>
    <w:rsid w:val="00CF30F9"/>
    <w:rsid w:val="00CF54AA"/>
    <w:rsid w:val="00D0007A"/>
    <w:rsid w:val="00D14C75"/>
    <w:rsid w:val="00D14C9B"/>
    <w:rsid w:val="00D2454E"/>
    <w:rsid w:val="00D37BC8"/>
    <w:rsid w:val="00D56661"/>
    <w:rsid w:val="00D57521"/>
    <w:rsid w:val="00D64C76"/>
    <w:rsid w:val="00D853FF"/>
    <w:rsid w:val="00D8636D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E6679"/>
    <w:rsid w:val="00DF175B"/>
    <w:rsid w:val="00DF7533"/>
    <w:rsid w:val="00E00CFE"/>
    <w:rsid w:val="00E02B93"/>
    <w:rsid w:val="00E1107D"/>
    <w:rsid w:val="00E114E8"/>
    <w:rsid w:val="00E21AF1"/>
    <w:rsid w:val="00E22B17"/>
    <w:rsid w:val="00E341F8"/>
    <w:rsid w:val="00E37239"/>
    <w:rsid w:val="00E41023"/>
    <w:rsid w:val="00E52A8A"/>
    <w:rsid w:val="00EA56A8"/>
    <w:rsid w:val="00EA7141"/>
    <w:rsid w:val="00EB193D"/>
    <w:rsid w:val="00EF176D"/>
    <w:rsid w:val="00F20581"/>
    <w:rsid w:val="00F329DC"/>
    <w:rsid w:val="00F367F9"/>
    <w:rsid w:val="00F47084"/>
    <w:rsid w:val="00F7258E"/>
    <w:rsid w:val="00F76EBA"/>
    <w:rsid w:val="00FA4F34"/>
    <w:rsid w:val="00FA7E61"/>
    <w:rsid w:val="00FB22EC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6413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63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taram.antaranews.com/berita/132954/apbd-kota-mataram-dapatkan-tambahan-rp343-miliar/09/09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idelombok.id/berita-utama/penjualan-gili-tangkong-mustahil-tanpa-persetujuan-pem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66FA-DD6F-4B8F-B700-2964D241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Customer</cp:lastModifiedBy>
  <cp:revision>2</cp:revision>
  <dcterms:created xsi:type="dcterms:W3CDTF">2020-12-07T07:04:00Z</dcterms:created>
  <dcterms:modified xsi:type="dcterms:W3CDTF">2020-12-07T07:04:00Z</dcterms:modified>
</cp:coreProperties>
</file>