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B802F0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08050A" w:rsidRDefault="008F34F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ED37" wp14:editId="26E148F3">
                <wp:simplePos x="0" y="0"/>
                <wp:positionH relativeFrom="column">
                  <wp:posOffset>1316736</wp:posOffset>
                </wp:positionH>
                <wp:positionV relativeFrom="paragraph">
                  <wp:posOffset>227508</wp:posOffset>
                </wp:positionV>
                <wp:extent cx="2889504" cy="182880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4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4F2" w:rsidRDefault="008F34F2" w:rsidP="008F34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4F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TEMUAN RESES </w:t>
                            </w:r>
                          </w:p>
                          <w:p w:rsidR="008F34F2" w:rsidRPr="008F34F2" w:rsidRDefault="008F34F2" w:rsidP="008F34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8ED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7pt;margin-top:17.9pt;width:22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 style="mso-fit-shape-to-text:t">
                  <w:txbxContent>
                    <w:p w:rsidR="008F34F2" w:rsidRDefault="008F34F2" w:rsidP="008F34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4F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TEMUAN RESES </w:t>
                      </w:r>
                    </w:p>
                    <w:p w:rsidR="008F34F2" w:rsidRPr="008F34F2" w:rsidRDefault="008F34F2" w:rsidP="008F34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DEWAN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F34F2">
        <w:rPr>
          <w:rFonts w:ascii="Times New Roman" w:hAnsi="Times New Roman" w:cs="Times New Roman"/>
          <w:color w:val="000000" w:themeColor="text1"/>
        </w:rPr>
        <w:t>Realisasi</w:t>
      </w:r>
      <w:proofErr w:type="spellEnd"/>
      <w:r w:rsidRPr="008F34F2">
        <w:rPr>
          <w:rFonts w:ascii="Times New Roman" w:hAnsi="Times New Roman" w:cs="Times New Roman"/>
          <w:color w:val="000000" w:themeColor="text1"/>
        </w:rPr>
        <w:t xml:space="preserve"> Dana Reses 16 </w:t>
      </w:r>
      <w:proofErr w:type="spellStart"/>
      <w:r w:rsidRPr="008F34F2">
        <w:rPr>
          <w:rFonts w:ascii="Times New Roman" w:hAnsi="Times New Roman" w:cs="Times New Roman"/>
          <w:color w:val="000000" w:themeColor="text1"/>
        </w:rPr>
        <w:t>Anggota</w:t>
      </w:r>
      <w:proofErr w:type="spellEnd"/>
      <w:r w:rsidRPr="008F34F2">
        <w:rPr>
          <w:rFonts w:ascii="Times New Roman" w:hAnsi="Times New Roman" w:cs="Times New Roman"/>
          <w:color w:val="000000" w:themeColor="text1"/>
        </w:rPr>
        <w:t xml:space="preserve"> DPRD NTB </w:t>
      </w:r>
      <w:proofErr w:type="spellStart"/>
      <w:r w:rsidRPr="008F34F2">
        <w:rPr>
          <w:rFonts w:ascii="Times New Roman" w:hAnsi="Times New Roman" w:cs="Times New Roman"/>
          <w:color w:val="000000" w:themeColor="text1"/>
        </w:rPr>
        <w:t>Jadi</w:t>
      </w:r>
      <w:proofErr w:type="spellEnd"/>
      <w:r w:rsidRPr="008F34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34F2">
        <w:rPr>
          <w:rFonts w:ascii="Times New Roman" w:hAnsi="Times New Roman" w:cs="Times New Roman"/>
          <w:color w:val="000000" w:themeColor="text1"/>
        </w:rPr>
        <w:t>Temuan</w:t>
      </w:r>
      <w:proofErr w:type="spellEnd"/>
      <w:r w:rsidRPr="008F34F2">
        <w:rPr>
          <w:rFonts w:ascii="Times New Roman" w:hAnsi="Times New Roman" w:cs="Times New Roman"/>
          <w:color w:val="000000" w:themeColor="text1"/>
        </w:rPr>
        <w:t xml:space="preserve"> BPK</w:t>
      </w:r>
    </w:p>
    <w:p w:rsidR="008F34F2" w:rsidRDefault="008F34F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8F34F2" w:rsidRDefault="008F34F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8F34F2" w:rsidRDefault="008F34F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8F34F2" w:rsidRDefault="008F34F2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08050A" w:rsidRPr="00B802F0" w:rsidRDefault="0008050A" w:rsidP="00E84411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B802F0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D364C7" w:rsidRPr="00B802F0" w:rsidRDefault="00D364C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B802F0">
        <w:rPr>
          <w:rFonts w:ascii="Times New Roman" w:hAnsi="Times New Roman" w:cs="Times New Roman"/>
          <w:noProof/>
          <w:color w:val="000000" w:themeColor="text1"/>
        </w:rPr>
        <w:t>https://www.bing.com/images/search?</w:t>
      </w:r>
    </w:p>
    <w:p w:rsidR="00E84411" w:rsidRPr="00B802F0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8F34F2" w:rsidRPr="008F34F2" w:rsidRDefault="008F34F2" w:rsidP="008F34F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F34F2">
        <w:rPr>
          <w:rFonts w:ascii="Times New Roman" w:hAnsi="Times New Roman" w:cs="Times New Roman"/>
          <w:noProof/>
          <w:color w:val="000000" w:themeColor="text1"/>
        </w:rPr>
        <w:t>Mataram (Inside Lombok) – Realisasi</w:t>
      </w:r>
      <w:r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8F34F2">
        <w:rPr>
          <w:rFonts w:ascii="Times New Roman" w:hAnsi="Times New Roman" w:cs="Times New Roman"/>
          <w:noProof/>
          <w:color w:val="000000" w:themeColor="text1"/>
        </w:rPr>
        <w:t xml:space="preserve"> dana reses 16 anggota DPRD Provinsi Nusa Tenggara Barat pada tahun anggaran 2020 menjadi bahan temuan Badan Pemeriksa Keuangan Republik Indonesia Perwakilan NTB.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Inspektur Provinsi NTB Ibnu Salim di Mataram, Selasa, mengatakan bahwa pihaknya sudah memantau temuan BPK tersebut.</w:t>
      </w:r>
    </w:p>
    <w:p w:rsidR="008F34F2" w:rsidRPr="008F34F2" w:rsidRDefault="008F34F2" w:rsidP="008F34F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F34F2">
        <w:rPr>
          <w:rFonts w:ascii="Times New Roman" w:hAnsi="Times New Roman" w:cs="Times New Roman"/>
          <w:noProof/>
          <w:color w:val="000000" w:themeColor="text1"/>
        </w:rPr>
        <w:t>Sesuai dengan aturan, kata Ibnu Salim, mereka diminta menyelesaikan persoalannya itu dalam tempo 60 hari.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BPK RI Perwakilan NTB juga memita Sekwan DPRD Provinsi NTB untuk melakukan verifikasi internal.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Dari verifikasi internal tersebut, kata dia, hasilnya harus kembali dikonsultasikan kepada BPK RI Perwakilan NTB.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Terkait dengan temuan</w:t>
      </w:r>
      <w:r w:rsidR="00167500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ini, Ketua DPRD Provinsi NTB Baiq Isvie Rupaeda menjelaskan bahwa temuan itu berkaitan dengan pengalihan dana reses untuk pengadaan jaring pengaman sosial (JPS) dewan.</w:t>
      </w:r>
    </w:p>
    <w:p w:rsidR="008F34F2" w:rsidRPr="008F34F2" w:rsidRDefault="008F34F2" w:rsidP="008F34F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F34F2">
        <w:rPr>
          <w:rFonts w:ascii="Times New Roman" w:hAnsi="Times New Roman" w:cs="Times New Roman"/>
          <w:noProof/>
          <w:color w:val="000000" w:themeColor="text1"/>
        </w:rPr>
        <w:t>“Jadi, itu reses DPR tidak sesuai dengan ketentuan,” kata Baiq Isvie.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Ia menjelaskan bahwa DPRD setempat menyalurkan JPS dewan dengan jumlah anggaran mencapai Rp6,5 miliar. Anggaran itu dipakai untuk pengadaan paket sembako yang satu paketnya bernilai Rp100 ribu.</w:t>
      </w:r>
    </w:p>
    <w:p w:rsidR="008F34F2" w:rsidRPr="008F34F2" w:rsidRDefault="008F34F2" w:rsidP="008F34F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F34F2">
        <w:rPr>
          <w:rFonts w:ascii="Times New Roman" w:hAnsi="Times New Roman" w:cs="Times New Roman"/>
          <w:noProof/>
          <w:color w:val="000000" w:themeColor="text1"/>
        </w:rPr>
        <w:t>Adapun perinciannya setiap paket berisi 5 kg beras, 1 kg minyak goreng, dan tujuh bungkus mi instan. Dari jumlah seluruhnya, terkumpul sebanyak 65.000 paket.</w:t>
      </w:r>
    </w:p>
    <w:p w:rsidR="0093337D" w:rsidRPr="00B802F0" w:rsidRDefault="008F34F2" w:rsidP="008F34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34F2">
        <w:rPr>
          <w:rFonts w:ascii="Times New Roman" w:hAnsi="Times New Roman" w:cs="Times New Roman"/>
          <w:noProof/>
          <w:color w:val="000000" w:themeColor="text1"/>
        </w:rPr>
        <w:t>Namun, belakangan diketahui anggaran JPS</w:t>
      </w:r>
      <w:r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8F34F2">
        <w:rPr>
          <w:rFonts w:ascii="Times New Roman" w:hAnsi="Times New Roman" w:cs="Times New Roman"/>
          <w:noProof/>
          <w:color w:val="000000" w:themeColor="text1"/>
        </w:rPr>
        <w:t xml:space="preserve"> dewan itu berasal dari dana reses. Pengadaannya dibagi sesuai dengan daerah pemilihan masing-masing anggota dewan yang mengadakan JPS dan turut melibatkan peran UMKM mitra DPRD Provinsi NTB.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8F34F2">
        <w:rPr>
          <w:rFonts w:ascii="Times New Roman" w:hAnsi="Times New Roman" w:cs="Times New Roman"/>
          <w:noProof/>
          <w:color w:val="000000" w:themeColor="text1"/>
        </w:rPr>
        <w:t>“Harusnya reses itu memberikan makan dan minum. Akan tetapi, ini diganti dengan sembako. Itu yang tidak dibolehkan. Kami sudah komunikasi dan akan kami selesaikan,” ucapnya. (Ant)</w:t>
      </w:r>
      <w:r w:rsidR="0008050A" w:rsidRPr="00B802F0">
        <w:rPr>
          <w:rFonts w:ascii="Times New Roman" w:hAnsi="Times New Roman" w:cs="Times New Roman"/>
          <w:color w:val="000000" w:themeColor="text1"/>
        </w:rPr>
        <w:t>.</w:t>
      </w:r>
    </w:p>
    <w:p w:rsidR="0093337D" w:rsidRPr="00B802F0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Pr="008F34F2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8F34F2">
        <w:rPr>
          <w:rFonts w:ascii="Times New Roman" w:hAnsi="Times New Roman" w:cs="Times New Roman"/>
          <w:b/>
        </w:rPr>
        <w:t>Catatan</w:t>
      </w:r>
      <w:proofErr w:type="spellEnd"/>
    </w:p>
    <w:p w:rsidR="008F34F2" w:rsidRDefault="008F34F2" w:rsidP="008F34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E6E25">
        <w:rPr>
          <w:rFonts w:ascii="Times New Roman" w:hAnsi="Times New Roman" w:cs="Times New Roman"/>
        </w:rPr>
        <w:t>Pemeriksaan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adalah</w:t>
      </w:r>
      <w:proofErr w:type="spellEnd"/>
      <w:r w:rsidRPr="00EE6E25">
        <w:rPr>
          <w:rFonts w:ascii="Times New Roman" w:hAnsi="Times New Roman" w:cs="Times New Roman"/>
        </w:rPr>
        <w:t xml:space="preserve"> proses </w:t>
      </w:r>
      <w:proofErr w:type="spellStart"/>
      <w:r w:rsidRPr="00EE6E25">
        <w:rPr>
          <w:rFonts w:ascii="Times New Roman" w:hAnsi="Times New Roman" w:cs="Times New Roman"/>
        </w:rPr>
        <w:t>identifikasi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masalah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analisis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evaluasi</w:t>
      </w:r>
      <w:proofErr w:type="spellEnd"/>
      <w:r w:rsidRPr="00EE6E25">
        <w:rPr>
          <w:rFonts w:ascii="Times New Roman" w:hAnsi="Times New Roman" w:cs="Times New Roman"/>
        </w:rPr>
        <w:t xml:space="preserve"> yang </w:t>
      </w:r>
      <w:proofErr w:type="spellStart"/>
      <w:r w:rsidRPr="00EE6E25">
        <w:rPr>
          <w:rFonts w:ascii="Times New Roman" w:hAnsi="Times New Roman" w:cs="Times New Roman"/>
        </w:rPr>
        <w:t>dilakukan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secara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independen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objektif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profesional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berdasarkan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standar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pemeriksaan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untuk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menilai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kebenaran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kecermatan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kredibilitas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keandalan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informasi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mengenai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pengelolaan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tanggung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jawab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keuangan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negara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Hasil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Pemeriksaan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adalah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hasil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akhir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dari</w:t>
      </w:r>
      <w:proofErr w:type="spellEnd"/>
      <w:r w:rsidRPr="00EE6E25">
        <w:rPr>
          <w:rFonts w:ascii="Times New Roman" w:hAnsi="Times New Roman" w:cs="Times New Roman"/>
        </w:rPr>
        <w:t xml:space="preserve"> proses </w:t>
      </w:r>
      <w:proofErr w:type="spellStart"/>
      <w:r w:rsidRPr="00EE6E25">
        <w:rPr>
          <w:rFonts w:ascii="Times New Roman" w:hAnsi="Times New Roman" w:cs="Times New Roman"/>
        </w:rPr>
        <w:t>penilaian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kebenaran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kepatuhan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kecermatan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lastRenderedPageBreak/>
        <w:t>kredibilitas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keandalan</w:t>
      </w:r>
      <w:proofErr w:type="spellEnd"/>
      <w:r w:rsidRPr="00EE6E25">
        <w:rPr>
          <w:rFonts w:ascii="Times New Roman" w:hAnsi="Times New Roman" w:cs="Times New Roman"/>
        </w:rPr>
        <w:t xml:space="preserve"> data/</w:t>
      </w:r>
      <w:proofErr w:type="spellStart"/>
      <w:r w:rsidRPr="00EE6E25">
        <w:rPr>
          <w:rFonts w:ascii="Times New Roman" w:hAnsi="Times New Roman" w:cs="Times New Roman"/>
        </w:rPr>
        <w:t>informasi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mengenai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pengelolaan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tanggung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jawab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keuangan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negara</w:t>
      </w:r>
      <w:proofErr w:type="spellEnd"/>
      <w:r w:rsidRPr="00EE6E25">
        <w:rPr>
          <w:rFonts w:ascii="Times New Roman" w:hAnsi="Times New Roman" w:cs="Times New Roman"/>
        </w:rPr>
        <w:t xml:space="preserve"> yang </w:t>
      </w:r>
      <w:proofErr w:type="spellStart"/>
      <w:r w:rsidRPr="00EE6E25">
        <w:rPr>
          <w:rFonts w:ascii="Times New Roman" w:hAnsi="Times New Roman" w:cs="Times New Roman"/>
        </w:rPr>
        <w:t>dilakukan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secara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independen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objektif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profesional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berdasarkan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Standar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Pemeriksaan</w:t>
      </w:r>
      <w:proofErr w:type="gramStart"/>
      <w:r w:rsidRPr="00EE6E25">
        <w:rPr>
          <w:rFonts w:ascii="Times New Roman" w:hAnsi="Times New Roman" w:cs="Times New Roman"/>
        </w:rPr>
        <w:t>,yang</w:t>
      </w:r>
      <w:proofErr w:type="spellEnd"/>
      <w:proofErr w:type="gram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dituangkan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dalam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laporan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hasil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pemeriksaan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sebagai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keputusan</w:t>
      </w:r>
      <w:proofErr w:type="spellEnd"/>
      <w:r w:rsidRPr="00EE6E25">
        <w:rPr>
          <w:rFonts w:ascii="Times New Roman" w:hAnsi="Times New Roman" w:cs="Times New Roman"/>
        </w:rPr>
        <w:t xml:space="preserve"> BPK.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8F34F2" w:rsidRPr="00EE6E25" w:rsidRDefault="008F34F2" w:rsidP="008F34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E6E25">
        <w:rPr>
          <w:rFonts w:ascii="Times New Roman" w:hAnsi="Times New Roman" w:cs="Times New Roman"/>
        </w:rPr>
        <w:t>Kerugian</w:t>
      </w:r>
      <w:proofErr w:type="spellEnd"/>
      <w:r w:rsidRPr="00EE6E25">
        <w:rPr>
          <w:rFonts w:ascii="Times New Roman" w:hAnsi="Times New Roman" w:cs="Times New Roman"/>
        </w:rPr>
        <w:t xml:space="preserve"> Negara/Daerah </w:t>
      </w:r>
      <w:proofErr w:type="spellStart"/>
      <w:r w:rsidRPr="00EE6E25">
        <w:rPr>
          <w:rFonts w:ascii="Times New Roman" w:hAnsi="Times New Roman" w:cs="Times New Roman"/>
        </w:rPr>
        <w:t>adalah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kekurangan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uang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E6E25">
        <w:rPr>
          <w:rFonts w:ascii="Times New Roman" w:hAnsi="Times New Roman" w:cs="Times New Roman"/>
        </w:rPr>
        <w:t>surat</w:t>
      </w:r>
      <w:proofErr w:type="spellEnd"/>
      <w:proofErr w:type="gram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berharga</w:t>
      </w:r>
      <w:proofErr w:type="spellEnd"/>
      <w:r w:rsidRPr="00EE6E25">
        <w:rPr>
          <w:rFonts w:ascii="Times New Roman" w:hAnsi="Times New Roman" w:cs="Times New Roman"/>
        </w:rPr>
        <w:t xml:space="preserve">,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barang</w:t>
      </w:r>
      <w:proofErr w:type="spellEnd"/>
      <w:r w:rsidRPr="00EE6E25">
        <w:rPr>
          <w:rFonts w:ascii="Times New Roman" w:hAnsi="Times New Roman" w:cs="Times New Roman"/>
        </w:rPr>
        <w:t xml:space="preserve">, yang </w:t>
      </w:r>
      <w:proofErr w:type="spellStart"/>
      <w:r w:rsidRPr="00EE6E25">
        <w:rPr>
          <w:rFonts w:ascii="Times New Roman" w:hAnsi="Times New Roman" w:cs="Times New Roman"/>
        </w:rPr>
        <w:t>nyata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dan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pasti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jumlahnya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sebagai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akibat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perbuatan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melawan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hukum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baik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sengaja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maupun</w:t>
      </w:r>
      <w:proofErr w:type="spellEnd"/>
      <w:r w:rsidRPr="00EE6E25">
        <w:rPr>
          <w:rFonts w:ascii="Times New Roman" w:hAnsi="Times New Roman" w:cs="Times New Roman"/>
        </w:rPr>
        <w:t xml:space="preserve"> </w:t>
      </w:r>
      <w:proofErr w:type="spellStart"/>
      <w:r w:rsidRPr="00EE6E25">
        <w:rPr>
          <w:rFonts w:ascii="Times New Roman" w:hAnsi="Times New Roman" w:cs="Times New Roman"/>
        </w:rPr>
        <w:t>lalai</w:t>
      </w:r>
      <w:proofErr w:type="spellEnd"/>
      <w:r w:rsidRPr="00EE6E2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Ganti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Kerugian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adalah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sejumlah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uang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atau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barang</w:t>
      </w:r>
      <w:proofErr w:type="spellEnd"/>
      <w:r w:rsidRPr="00191C23">
        <w:rPr>
          <w:rFonts w:ascii="Times New Roman" w:hAnsi="Times New Roman" w:cs="Times New Roman"/>
        </w:rPr>
        <w:t xml:space="preserve"> yang </w:t>
      </w:r>
      <w:proofErr w:type="spellStart"/>
      <w:r w:rsidRPr="00191C23">
        <w:rPr>
          <w:rFonts w:ascii="Times New Roman" w:hAnsi="Times New Roman" w:cs="Times New Roman"/>
        </w:rPr>
        <w:t>dapat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dinilai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dengan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uang</w:t>
      </w:r>
      <w:proofErr w:type="spellEnd"/>
      <w:r w:rsidRPr="00191C23">
        <w:rPr>
          <w:rFonts w:ascii="Times New Roman" w:hAnsi="Times New Roman" w:cs="Times New Roman"/>
        </w:rPr>
        <w:t xml:space="preserve"> yang </w:t>
      </w:r>
      <w:proofErr w:type="spellStart"/>
      <w:r w:rsidRPr="00191C23">
        <w:rPr>
          <w:rFonts w:ascii="Times New Roman" w:hAnsi="Times New Roman" w:cs="Times New Roman"/>
        </w:rPr>
        <w:t>harus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dikembalikan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kepada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negara</w:t>
      </w:r>
      <w:proofErr w:type="spellEnd"/>
      <w:r w:rsidRPr="00191C23">
        <w:rPr>
          <w:rFonts w:ascii="Times New Roman" w:hAnsi="Times New Roman" w:cs="Times New Roman"/>
        </w:rPr>
        <w:t>/</w:t>
      </w:r>
      <w:proofErr w:type="spellStart"/>
      <w:r w:rsidRPr="00191C23">
        <w:rPr>
          <w:rFonts w:ascii="Times New Roman" w:hAnsi="Times New Roman" w:cs="Times New Roman"/>
        </w:rPr>
        <w:t>daerah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oleh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seseorang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atau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badan</w:t>
      </w:r>
      <w:proofErr w:type="spellEnd"/>
      <w:r w:rsidRPr="00191C23">
        <w:rPr>
          <w:rFonts w:ascii="Times New Roman" w:hAnsi="Times New Roman" w:cs="Times New Roman"/>
        </w:rPr>
        <w:t xml:space="preserve"> yang </w:t>
      </w:r>
      <w:proofErr w:type="spellStart"/>
      <w:r w:rsidRPr="00191C23">
        <w:rPr>
          <w:rFonts w:ascii="Times New Roman" w:hAnsi="Times New Roman" w:cs="Times New Roman"/>
        </w:rPr>
        <w:t>telah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melakukan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perbuatan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melawan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hukum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baik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sengaja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maupun</w:t>
      </w:r>
      <w:proofErr w:type="spellEnd"/>
      <w:r w:rsidRPr="00191C23">
        <w:rPr>
          <w:rFonts w:ascii="Times New Roman" w:hAnsi="Times New Roman" w:cs="Times New Roman"/>
        </w:rPr>
        <w:t xml:space="preserve"> </w:t>
      </w:r>
      <w:proofErr w:type="spellStart"/>
      <w:r w:rsidRPr="00191C23">
        <w:rPr>
          <w:rFonts w:ascii="Times New Roman" w:hAnsi="Times New Roman" w:cs="Times New Roman"/>
        </w:rPr>
        <w:t>lalai</w:t>
      </w:r>
      <w:proofErr w:type="spellEnd"/>
      <w:r w:rsidRPr="00191C23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8F34F2" w:rsidRDefault="00167500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UU No 11/2009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Kesejahteraan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Jo </w:t>
      </w:r>
      <w:proofErr w:type="spellStart"/>
      <w:r>
        <w:rPr>
          <w:rFonts w:ascii="Times New Roman" w:hAnsi="Times New Roman" w:cs="Times New Roman"/>
        </w:rPr>
        <w:t>Perpres</w:t>
      </w:r>
      <w:proofErr w:type="spellEnd"/>
      <w:r>
        <w:rPr>
          <w:rFonts w:ascii="Times New Roman" w:hAnsi="Times New Roman" w:cs="Times New Roman"/>
        </w:rPr>
        <w:t xml:space="preserve"> No 15/2010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Percepatan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Penanggulangan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Kemiskinan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Bansos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jaring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(JPS)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prinsip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>:</w:t>
      </w:r>
    </w:p>
    <w:p w:rsidR="00167500" w:rsidRDefault="00167500" w:rsidP="0016750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Tranparansi</w:t>
      </w:r>
      <w:proofErr w:type="spellEnd"/>
      <w:r>
        <w:rPr>
          <w:rFonts w:ascii="Times New Roman" w:hAnsi="Times New Roman" w:cs="Times New Roman"/>
        </w:rPr>
        <w:t>;</w:t>
      </w:r>
    </w:p>
    <w:p w:rsidR="00167500" w:rsidRDefault="00167500" w:rsidP="0016750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Penyampiannya</w:t>
      </w:r>
      <w:proofErr w:type="spellEnd"/>
      <w:r>
        <w:rPr>
          <w:rFonts w:ascii="Times New Roman" w:hAnsi="Times New Roman" w:cs="Times New Roman"/>
        </w:rPr>
        <w:t>;</w:t>
      </w:r>
    </w:p>
    <w:p w:rsidR="00167500" w:rsidRDefault="00167500" w:rsidP="0016750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>;</w:t>
      </w:r>
    </w:p>
    <w:p w:rsidR="00167500" w:rsidRDefault="00167500" w:rsidP="0016750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Dipertanggungjawabakan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</w:p>
    <w:p w:rsidR="00167500" w:rsidRPr="00167500" w:rsidRDefault="00167500" w:rsidP="0016750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Patisipatif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berkelanjutan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5"/>
      </w:r>
    </w:p>
    <w:p w:rsidR="004373DC" w:rsidRPr="008F34F2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F34F2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8F34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F34F2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B802F0" w:rsidRDefault="008F34F2" w:rsidP="008F34F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8" w:history="1">
        <w:r w:rsidRPr="00A30664">
          <w:rPr>
            <w:rStyle w:val="Hyperlink"/>
          </w:rPr>
          <w:t>https://insidelombok.id/berita-utama/realisasi-dana-reses-16-anggota-dprd-ntb-jadi-temuan-bpk/</w:t>
        </w:r>
      </w:hyperlink>
      <w:r>
        <w:t xml:space="preserve"> 23 </w:t>
      </w:r>
      <w:proofErr w:type="spellStart"/>
      <w:r>
        <w:t>Desember</w:t>
      </w:r>
      <w:proofErr w:type="spellEnd"/>
      <w:r>
        <w:t xml:space="preserve"> 2020;</w:t>
      </w:r>
    </w:p>
    <w:p w:rsidR="00A9085C" w:rsidRPr="008F34F2" w:rsidRDefault="008F34F2" w:rsidP="008F34F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9" w:history="1">
        <w:r w:rsidRPr="00A30664">
          <w:rPr>
            <w:rStyle w:val="Hyperlink"/>
          </w:rPr>
          <w:t>https://www.antaranews.com/berita/1908948/realisasi-dana-reses-16-anggota-dprd-ntb-jadi-temuan-bpk/</w:t>
        </w:r>
      </w:hyperlink>
      <w:r>
        <w:t xml:space="preserve"> 23 </w:t>
      </w:r>
      <w:proofErr w:type="spellStart"/>
      <w:r w:rsidR="00781AB2" w:rsidRPr="00B802F0">
        <w:t>Desember</w:t>
      </w:r>
      <w:proofErr w:type="spellEnd"/>
      <w:r w:rsidR="00781AB2" w:rsidRPr="00B802F0">
        <w:t xml:space="preserve"> </w:t>
      </w:r>
      <w:r w:rsidR="00DA54F4" w:rsidRPr="00B802F0">
        <w:t>2020</w:t>
      </w:r>
      <w:r>
        <w:t>;</w:t>
      </w:r>
    </w:p>
    <w:p w:rsidR="008F34F2" w:rsidRPr="008F34F2" w:rsidRDefault="008F34F2" w:rsidP="008F34F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proofErr w:type="spellStart"/>
        <w:r>
          <w:rPr>
            <w:rStyle w:val="Hyperlink"/>
          </w:rPr>
          <w:t>Realisasi</w:t>
        </w:r>
        <w:proofErr w:type="spellEnd"/>
        <w:r>
          <w:rPr>
            <w:rStyle w:val="Hyperlink"/>
          </w:rPr>
          <w:t xml:space="preserve"> Dana Reses 16 </w:t>
        </w:r>
        <w:proofErr w:type="spellStart"/>
        <w:r>
          <w:rPr>
            <w:rStyle w:val="Hyperlink"/>
          </w:rPr>
          <w:t>Anggota</w:t>
        </w:r>
        <w:proofErr w:type="spellEnd"/>
        <w:r>
          <w:rPr>
            <w:rStyle w:val="Hyperlink"/>
          </w:rPr>
          <w:t xml:space="preserve"> DPRD NTB </w:t>
        </w:r>
        <w:proofErr w:type="spellStart"/>
        <w:r>
          <w:rPr>
            <w:rStyle w:val="Hyperlink"/>
          </w:rPr>
          <w:t>Jadi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Temuan</w:t>
        </w:r>
        <w:proofErr w:type="spellEnd"/>
        <w:r>
          <w:rPr>
            <w:rStyle w:val="Hyperlink"/>
          </w:rPr>
          <w:t xml:space="preserve"> BPK - </w:t>
        </w:r>
        <w:proofErr w:type="spellStart"/>
        <w:r>
          <w:rPr>
            <w:rStyle w:val="Hyperlink"/>
          </w:rPr>
          <w:t>Realita</w:t>
        </w:r>
        <w:proofErr w:type="spellEnd"/>
        <w:r>
          <w:rPr>
            <w:rStyle w:val="Hyperlink"/>
          </w:rPr>
          <w:t xml:space="preserve"> Rakyat</w:t>
        </w:r>
      </w:hyperlink>
      <w:r>
        <w:t xml:space="preserve">/ 23 </w:t>
      </w:r>
      <w:proofErr w:type="spellStart"/>
      <w:r>
        <w:t>Desember</w:t>
      </w:r>
      <w:proofErr w:type="spellEnd"/>
      <w:r>
        <w:t xml:space="preserve"> 2020; </w:t>
      </w:r>
      <w:proofErr w:type="spellStart"/>
      <w:r>
        <w:t>dan</w:t>
      </w:r>
      <w:proofErr w:type="spellEnd"/>
    </w:p>
    <w:p w:rsidR="008F34F2" w:rsidRPr="00B802F0" w:rsidRDefault="008F34F2" w:rsidP="008F34F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Pr="00A30664">
          <w:rPr>
            <w:rStyle w:val="Hyperlink"/>
            <w:rFonts w:ascii="Times New Roman" w:hAnsi="Times New Roman" w:cs="Times New Roman"/>
          </w:rPr>
          <w:t>https://radarlombok.co.id/soal-temuan-bpkkomisi-i-minta-oknum-dewan-bertanggung-jawab.html/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27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Desember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2020</w:t>
      </w:r>
    </w:p>
    <w:p w:rsidR="00316878" w:rsidRPr="00B802F0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Pr="00B802F0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B802F0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B802F0">
        <w:rPr>
          <w:rStyle w:val="Hyperlink"/>
          <w:rFonts w:ascii="Times New Roman" w:hAnsi="Times New Roman" w:cs="Times New Roman"/>
          <w:color w:val="000000" w:themeColor="text1"/>
          <w:u w:val="none"/>
        </w:rPr>
        <w:t>Endnote</w:t>
      </w:r>
      <w:r w:rsidR="00AD00B7" w:rsidRPr="00B802F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/ </w:t>
      </w:r>
      <w:proofErr w:type="spellStart"/>
      <w:r w:rsidR="00AD00B7" w:rsidRPr="00B802F0">
        <w:rPr>
          <w:rStyle w:val="Hyperlink"/>
          <w:rFonts w:ascii="Times New Roman" w:hAnsi="Times New Roman" w:cs="Times New Roman"/>
          <w:color w:val="000000" w:themeColor="text1"/>
          <w:u w:val="none"/>
        </w:rPr>
        <w:t>Catatan</w:t>
      </w:r>
      <w:proofErr w:type="spellEnd"/>
      <w:r w:rsidR="00AD00B7" w:rsidRPr="00B802F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="00AD00B7" w:rsidRPr="00B802F0">
        <w:rPr>
          <w:rStyle w:val="Hyperlink"/>
          <w:rFonts w:ascii="Times New Roman" w:hAnsi="Times New Roman" w:cs="Times New Roman"/>
          <w:color w:val="000000" w:themeColor="text1"/>
          <w:u w:val="none"/>
        </w:rPr>
        <w:t>Akhir</w:t>
      </w:r>
      <w:proofErr w:type="spellEnd"/>
    </w:p>
    <w:sectPr w:rsidR="00F76EBA" w:rsidRPr="00B802F0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CA" w:rsidRDefault="00F267CA" w:rsidP="004373DC">
      <w:pPr>
        <w:spacing w:after="0" w:line="240" w:lineRule="auto"/>
      </w:pPr>
      <w:r>
        <w:separator/>
      </w:r>
    </w:p>
  </w:endnote>
  <w:endnote w:type="continuationSeparator" w:id="0">
    <w:p w:rsidR="00F267CA" w:rsidRDefault="00F267CA" w:rsidP="004373DC">
      <w:pPr>
        <w:spacing w:after="0" w:line="240" w:lineRule="auto"/>
      </w:pPr>
      <w:r>
        <w:continuationSeparator/>
      </w:r>
    </w:p>
  </w:endnote>
  <w:endnote w:id="1">
    <w:p w:rsidR="008F34F2" w:rsidRPr="008F34F2" w:rsidRDefault="008F34F2" w:rsidP="008F34F2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8F34F2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8F34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realisasi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re·a·li·sa·si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>/ /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réalisasi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/ n 1 proses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menjadikan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nyata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perwujudan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; 2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cak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wujud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kenyataan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pelaksanaan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8F34F2">
        <w:rPr>
          <w:rFonts w:ascii="Times New Roman" w:hAnsi="Times New Roman" w:cs="Times New Roman"/>
          <w:sz w:val="18"/>
          <w:szCs w:val="18"/>
        </w:rPr>
        <w:t>nyata</w:t>
      </w:r>
      <w:proofErr w:type="spellEnd"/>
      <w:r w:rsidRPr="008F34F2">
        <w:rPr>
          <w:rFonts w:ascii="Times New Roman" w:hAnsi="Times New Roman" w:cs="Times New Roman"/>
          <w:sz w:val="18"/>
          <w:szCs w:val="18"/>
        </w:rPr>
        <w:t>; [vide: https://www.kbbi.web.id/realisasi]</w:t>
      </w:r>
    </w:p>
  </w:endnote>
  <w:endnote w:id="2">
    <w:p w:rsidR="008F34F2" w:rsidRDefault="008F34F2">
      <w:pPr>
        <w:pStyle w:val="EndnoteText"/>
      </w:pPr>
      <w:r>
        <w:rPr>
          <w:rStyle w:val="EndnoteReference"/>
        </w:rPr>
        <w:endnoteRef/>
      </w:r>
      <w:r>
        <w:t xml:space="preserve"> JPS </w:t>
      </w:r>
      <w:proofErr w:type="spellStart"/>
      <w:r>
        <w:t>adalah</w:t>
      </w:r>
      <w:proofErr w:type="spellEnd"/>
      <w:r>
        <w:t xml:space="preserve"> Program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miskin</w:t>
      </w:r>
      <w:proofErr w:type="spellEnd"/>
      <w:r>
        <w:t xml:space="preserve"> yang </w:t>
      </w:r>
      <w:proofErr w:type="spellStart"/>
      <w:r>
        <w:t>terkenan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penyelamatan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pemulihan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normal [ vide: </w:t>
      </w:r>
      <w:r w:rsidRPr="008F34F2">
        <w:t>https://pengertianartidefinisidari.blogspot.com/2020/10/jaring-pengaman-sosial-jps-pengertian.html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CA" w:rsidRDefault="00F267CA" w:rsidP="004373DC">
      <w:pPr>
        <w:spacing w:after="0" w:line="240" w:lineRule="auto"/>
      </w:pPr>
      <w:r>
        <w:separator/>
      </w:r>
    </w:p>
  </w:footnote>
  <w:footnote w:type="continuationSeparator" w:id="0">
    <w:p w:rsidR="00F267CA" w:rsidRDefault="00F267CA" w:rsidP="004373DC">
      <w:pPr>
        <w:spacing w:after="0" w:line="240" w:lineRule="auto"/>
      </w:pPr>
      <w:r>
        <w:continuationSeparator/>
      </w:r>
    </w:p>
  </w:footnote>
  <w:footnote w:id="1">
    <w:p w:rsidR="008F34F2" w:rsidRDefault="008F34F2" w:rsidP="008F3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9 UU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  <w:footnote w:id="2">
    <w:p w:rsidR="008F34F2" w:rsidRDefault="008F34F2" w:rsidP="008F3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14 UU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  <w:footnote w:id="3">
    <w:p w:rsidR="008F34F2" w:rsidRDefault="008F34F2" w:rsidP="008F3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15 UU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  <w:footnote w:id="4">
    <w:p w:rsidR="008F34F2" w:rsidRDefault="008F34F2" w:rsidP="008F3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16 UU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</w:t>
      </w:r>
    </w:p>
  </w:footnote>
  <w:footnote w:id="5">
    <w:p w:rsidR="00167500" w:rsidRDefault="001675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34F2">
        <w:t>https://pengertianartidefinisidari.blogspot.com/2020/10/jaring-pengaman-sosial-jps-pengertian.html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725DC"/>
    <w:multiLevelType w:val="hybridMultilevel"/>
    <w:tmpl w:val="2498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0602E"/>
    <w:multiLevelType w:val="hybridMultilevel"/>
    <w:tmpl w:val="058A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7089D"/>
    <w:multiLevelType w:val="hybridMultilevel"/>
    <w:tmpl w:val="36B89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30"/>
  </w:num>
  <w:num w:numId="10">
    <w:abstractNumId w:val="1"/>
  </w:num>
  <w:num w:numId="11">
    <w:abstractNumId w:val="28"/>
  </w:num>
  <w:num w:numId="12">
    <w:abstractNumId w:val="17"/>
  </w:num>
  <w:num w:numId="13">
    <w:abstractNumId w:val="3"/>
  </w:num>
  <w:num w:numId="14">
    <w:abstractNumId w:val="10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21"/>
  </w:num>
  <w:num w:numId="20">
    <w:abstractNumId w:val="5"/>
  </w:num>
  <w:num w:numId="21">
    <w:abstractNumId w:val="12"/>
  </w:num>
  <w:num w:numId="22">
    <w:abstractNumId w:val="25"/>
  </w:num>
  <w:num w:numId="23">
    <w:abstractNumId w:val="8"/>
  </w:num>
  <w:num w:numId="24">
    <w:abstractNumId w:val="27"/>
  </w:num>
  <w:num w:numId="25">
    <w:abstractNumId w:val="22"/>
  </w:num>
  <w:num w:numId="26">
    <w:abstractNumId w:val="4"/>
  </w:num>
  <w:num w:numId="27">
    <w:abstractNumId w:val="32"/>
  </w:num>
  <w:num w:numId="28">
    <w:abstractNumId w:val="20"/>
  </w:num>
  <w:num w:numId="29">
    <w:abstractNumId w:val="6"/>
  </w:num>
  <w:num w:numId="30">
    <w:abstractNumId w:val="14"/>
  </w:num>
  <w:num w:numId="31">
    <w:abstractNumId w:val="18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050A"/>
    <w:rsid w:val="00084EC2"/>
    <w:rsid w:val="000A1454"/>
    <w:rsid w:val="000A54B2"/>
    <w:rsid w:val="000B43BB"/>
    <w:rsid w:val="000C2B27"/>
    <w:rsid w:val="000C3750"/>
    <w:rsid w:val="000E2493"/>
    <w:rsid w:val="000E62FF"/>
    <w:rsid w:val="000F2761"/>
    <w:rsid w:val="000F6809"/>
    <w:rsid w:val="00104DC3"/>
    <w:rsid w:val="00110614"/>
    <w:rsid w:val="00117267"/>
    <w:rsid w:val="00123559"/>
    <w:rsid w:val="00151042"/>
    <w:rsid w:val="00167500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15F2"/>
    <w:rsid w:val="002220E1"/>
    <w:rsid w:val="00225F17"/>
    <w:rsid w:val="0025618B"/>
    <w:rsid w:val="00295DCA"/>
    <w:rsid w:val="00296B49"/>
    <w:rsid w:val="002C4A38"/>
    <w:rsid w:val="002C6DAF"/>
    <w:rsid w:val="002D25F9"/>
    <w:rsid w:val="002F325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14AF"/>
    <w:rsid w:val="00483FF8"/>
    <w:rsid w:val="00487FAF"/>
    <w:rsid w:val="004A1A93"/>
    <w:rsid w:val="004A1F45"/>
    <w:rsid w:val="004A5D4A"/>
    <w:rsid w:val="004C2004"/>
    <w:rsid w:val="004C5C7B"/>
    <w:rsid w:val="004D168C"/>
    <w:rsid w:val="004F450C"/>
    <w:rsid w:val="004F7800"/>
    <w:rsid w:val="005025D5"/>
    <w:rsid w:val="0051364C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C6926"/>
    <w:rsid w:val="005D1030"/>
    <w:rsid w:val="005D76E8"/>
    <w:rsid w:val="005E7074"/>
    <w:rsid w:val="005F2672"/>
    <w:rsid w:val="005F5037"/>
    <w:rsid w:val="005F7B99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73DAA"/>
    <w:rsid w:val="006912A3"/>
    <w:rsid w:val="0069630C"/>
    <w:rsid w:val="006A2E1B"/>
    <w:rsid w:val="006B07B8"/>
    <w:rsid w:val="006C456B"/>
    <w:rsid w:val="006D0A3B"/>
    <w:rsid w:val="006D1162"/>
    <w:rsid w:val="006D1A3C"/>
    <w:rsid w:val="006E0CB6"/>
    <w:rsid w:val="006F10F0"/>
    <w:rsid w:val="00707D1E"/>
    <w:rsid w:val="00737A09"/>
    <w:rsid w:val="00766EE3"/>
    <w:rsid w:val="00766EE9"/>
    <w:rsid w:val="0076756C"/>
    <w:rsid w:val="00781AB2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8F34F2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3D72"/>
    <w:rsid w:val="00A547BB"/>
    <w:rsid w:val="00A56237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02F0"/>
    <w:rsid w:val="00B81FB6"/>
    <w:rsid w:val="00B87BF9"/>
    <w:rsid w:val="00BA1139"/>
    <w:rsid w:val="00BB2173"/>
    <w:rsid w:val="00BB2972"/>
    <w:rsid w:val="00BD41F1"/>
    <w:rsid w:val="00BE0162"/>
    <w:rsid w:val="00BE019B"/>
    <w:rsid w:val="00BE3EA0"/>
    <w:rsid w:val="00BE76DF"/>
    <w:rsid w:val="00BF20A6"/>
    <w:rsid w:val="00BF4FD3"/>
    <w:rsid w:val="00BF5EF7"/>
    <w:rsid w:val="00BF7F50"/>
    <w:rsid w:val="00C017A4"/>
    <w:rsid w:val="00C420DD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A54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130DB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267CA"/>
    <w:rsid w:val="00F329DC"/>
    <w:rsid w:val="00F34BBB"/>
    <w:rsid w:val="00F367F9"/>
    <w:rsid w:val="00F47084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24E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lombok.id/berita-utama/realisasi-dana-reses-16-anggota-dprd-ntb-jadi-temuan-bp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rlombok.co.id/soal-temuan-bpkkomisi-i-minta-oknum-dewan-bertanggung-jawab.htm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alitarakyat.com/2020/12/23/realisasi-dana-reses-16-anggota-dprd-ntb-jadi-temuan-b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aranews.com/berita/1908948/realisasi-dana-reses-16-anggota-dprd-ntb-jadi-temuan-b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32DD-BDB0-46F0-92D0-57532E77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70</cp:revision>
  <dcterms:created xsi:type="dcterms:W3CDTF">2020-06-22T02:16:00Z</dcterms:created>
  <dcterms:modified xsi:type="dcterms:W3CDTF">2020-12-29T04:16:00Z</dcterms:modified>
</cp:coreProperties>
</file>