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4210" w14:textId="64AE5178" w:rsidR="001D63E8" w:rsidRDefault="001D63E8" w:rsidP="001D63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bookmarkStart w:id="1" w:name="_Hlk58172124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Humas NTB </w:t>
      </w:r>
      <w:proofErr w:type="spellStart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Tegaskan</w:t>
      </w:r>
      <w:proofErr w:type="spellEnd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Capaian</w:t>
      </w:r>
      <w:proofErr w:type="spellEnd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di Gili </w:t>
      </w:r>
      <w:proofErr w:type="spellStart"/>
      <w:r w:rsidRPr="001D63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Trawangan</w:t>
      </w:r>
      <w:proofErr w:type="spellEnd"/>
    </w:p>
    <w:bookmarkEnd w:id="1"/>
    <w:p w14:paraId="0E785DA3" w14:textId="77777777" w:rsidR="001D63E8" w:rsidRDefault="001D63E8" w:rsidP="001D63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4A498CC2" w14:textId="76A32A1F" w:rsidR="00F80F3A" w:rsidRDefault="003B0BFA" w:rsidP="00F11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5F25B611" wp14:editId="3C1D232F">
            <wp:extent cx="3939540" cy="2528711"/>
            <wp:effectExtent l="0" t="0" r="3810" b="5080"/>
            <wp:docPr id="2" name="Picture 2" descr="C:\Users\HP\AppData\Local\Microsoft\Windows\INetCache\Content.MSO\A4DEB8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A4DEB88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85" cy="25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62">
        <w:rPr>
          <w:noProof/>
        </w:rPr>
        <w:t xml:space="preserve"> </w:t>
      </w:r>
    </w:p>
    <w:bookmarkEnd w:id="0"/>
    <w:p w14:paraId="7263A291" w14:textId="16D0B37D" w:rsidR="00A41524" w:rsidRPr="00511C2C" w:rsidRDefault="00511C2C" w:rsidP="00511C2C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</w:pP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fldChar w:fldCharType="begin"/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instrText xml:space="preserve"> HYPERLINK "https://www.finansialku.com/" </w:instrText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fldChar w:fldCharType="separate"/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https://www.finansialku.com</w:t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fldChar w:fldCharType="end"/>
      </w:r>
    </w:p>
    <w:p w14:paraId="14F5CF57" w14:textId="77777777" w:rsidR="001D63E8" w:rsidRDefault="001D63E8" w:rsidP="00B83E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58465BC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Suara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NTB) –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Biro Humas dan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Protokol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Najamuddin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Amy, </w:t>
      </w:r>
      <w:proofErr w:type="spellStart"/>
      <w:proofErr w:type="gram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S.Sos</w:t>
      </w:r>
      <w:proofErr w:type="spellEnd"/>
      <w:proofErr w:type="gram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., MM.,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menegaskan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Dr. H.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Zulkieflimansyah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membuktikan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komitmen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menuntaskan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problem tata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kelola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terselesaikan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puluhan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 era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Zulkieflimansyah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mulai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mengambil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serius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problem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33F96D8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Justru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era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Zul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kemajuan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penuntasan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polemik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di Gili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Trawangan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Utara.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kemajuan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pernah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dicapai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Najamuddin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Sabtu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5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115C4852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diketahui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tanah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seluas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65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hektare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Gili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Trawangan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Utara.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kontrak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1995,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dikerjasamakan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PT. GTI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sama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70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Sayangnya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royalti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kontrak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panjang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22,5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C4F2C29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Seiring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kontrak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dipandang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sepadan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Apalagi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berdiri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permanen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aktivitas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kafe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makan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bar, dan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45DE77B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mendorong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kontrak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ditinjau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dinilai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merugikan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1995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kemajuan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berarti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dicapai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menuntaskan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problem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1861135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era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Zulkieflimansyah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meraih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capaian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pernah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dicapai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penandatanganan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Surat Kuasa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(SKK)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litigasi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oleh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dan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Penandatanganan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usai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meninjau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keberadaan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Senin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, 23 November 2020.</w:t>
      </w:r>
    </w:p>
    <w:p w14:paraId="4F4EE895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SKK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kajian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penyelesaian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di Gili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Trawangan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Najamuddin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13D7D2A" w14:textId="77777777" w:rsidR="001D63E8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juga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berkomitmen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terus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membangun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koordinasi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KPK dan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Asdatun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menemukan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solusi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terbaik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Gili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Trawangan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dikuasai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ketiga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juga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berkomitmen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dan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menuntaskan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persoalan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terbaik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F51F491" w14:textId="7F8D680F" w:rsidR="001D63E8" w:rsidRDefault="001D63E8" w:rsidP="00B83E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Najamuddin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menegaskan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Wakil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justru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membuktikan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komitmen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problem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bermula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1995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SKK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komitmen-komitmen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kemajuan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pernah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dicapai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Jadi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justru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harusnya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catatan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positif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jangan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justru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dibingkai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mendistorsi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capaian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pungkasnya</w:t>
      </w:r>
      <w:proofErr w:type="spellEnd"/>
      <w:r w:rsidRPr="001D63E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AF46AD8" w14:textId="77777777" w:rsidR="001D63E8" w:rsidRDefault="001D63E8" w:rsidP="00B83E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D18E23E" w14:textId="60F908E5" w:rsidR="00725B46" w:rsidRDefault="00725B46" w:rsidP="00725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254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="00922A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="00922A21" w:rsidRPr="007147CA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404EEE7" w14:textId="2B17521F" w:rsidR="007147CA" w:rsidRPr="001D63E8" w:rsidRDefault="001D63E8" w:rsidP="001D63E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hyperlink r:id="rId9" w:history="1">
        <w:r w:rsidRPr="002B398E">
          <w:rPr>
            <w:rStyle w:val="Hyperlink"/>
            <w:rFonts w:ascii="Times New Roman" w:hAnsi="Times New Roman" w:cs="Times New Roman"/>
          </w:rPr>
          <w:t>h</w:t>
        </w:r>
        <w:r w:rsidRPr="002B398E">
          <w:rPr>
            <w:rStyle w:val="Hyperlink"/>
            <w:rFonts w:ascii="Times New Roman" w:eastAsia="Times New Roman" w:hAnsi="Times New Roman" w:cs="Times New Roman"/>
            <w:i/>
            <w:iCs/>
            <w:kern w:val="36"/>
            <w:lang w:eastAsia="id-ID"/>
          </w:rPr>
          <w:t>ttps://</w:t>
        </w:r>
        <w:r w:rsidRPr="002B398E">
          <w:rPr>
            <w:rStyle w:val="Hyperlink"/>
            <w:rFonts w:ascii="Times New Roman" w:hAnsi="Times New Roman" w:cs="Times New Roman"/>
          </w:rPr>
          <w:t>suarantb</w:t>
        </w:r>
        <w:r w:rsidRPr="002B398E">
          <w:rPr>
            <w:rStyle w:val="Hyperlink"/>
            <w:rFonts w:ascii="Times New Roman" w:eastAsia="Times New Roman" w:hAnsi="Times New Roman" w:cs="Times New Roman"/>
            <w:i/>
            <w:iCs/>
            <w:kern w:val="36"/>
            <w:lang w:eastAsia="id-ID"/>
          </w:rPr>
          <w:t>.com</w:t>
        </w:r>
      </w:hyperlink>
      <w:r w:rsidR="002D0563" w:rsidRPr="001D63E8">
        <w:rPr>
          <w:rFonts w:ascii="Times New Roman" w:hAnsi="Times New Roman" w:cs="Times New Roman"/>
          <w:i/>
          <w:color w:val="222222"/>
          <w:u w:val="single"/>
        </w:rPr>
        <w:t>,</w:t>
      </w:r>
      <w:r w:rsidR="00725B46" w:rsidRPr="001D63E8">
        <w:rPr>
          <w:rFonts w:ascii="Times New Roman" w:hAnsi="Times New Roman" w:cs="Times New Roman"/>
          <w:color w:val="222222"/>
        </w:rPr>
        <w:t xml:space="preserve"> </w:t>
      </w:r>
      <w:r w:rsidRPr="001D63E8">
        <w:rPr>
          <w:rFonts w:ascii="Times New Roman" w:eastAsia="Times New Roman" w:hAnsi="Times New Roman" w:cs="Times New Roman"/>
          <w:lang w:eastAsia="id-ID"/>
        </w:rPr>
        <w:t xml:space="preserve">Humas NTB </w:t>
      </w:r>
      <w:proofErr w:type="spellStart"/>
      <w:r w:rsidRPr="001D63E8">
        <w:rPr>
          <w:rFonts w:ascii="Times New Roman" w:eastAsia="Times New Roman" w:hAnsi="Times New Roman" w:cs="Times New Roman"/>
          <w:lang w:eastAsia="id-ID"/>
        </w:rPr>
        <w:t>Tegaskan</w:t>
      </w:r>
      <w:proofErr w:type="spellEnd"/>
      <w:r w:rsidRPr="001D63E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1D63E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1D63E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1D63E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D63E8">
        <w:rPr>
          <w:rFonts w:ascii="Times New Roman" w:eastAsia="Times New Roman" w:hAnsi="Times New Roman" w:cs="Times New Roman"/>
          <w:lang w:eastAsia="id-ID"/>
        </w:rPr>
        <w:t>Aset</w:t>
      </w:r>
      <w:proofErr w:type="spellEnd"/>
      <w:r w:rsidRPr="001D63E8">
        <w:rPr>
          <w:rFonts w:ascii="Times New Roman" w:eastAsia="Times New Roman" w:hAnsi="Times New Roman" w:cs="Times New Roman"/>
          <w:lang w:eastAsia="id-ID"/>
        </w:rPr>
        <w:t xml:space="preserve"> di Gili </w:t>
      </w:r>
      <w:proofErr w:type="spellStart"/>
      <w:r w:rsidRPr="001D63E8">
        <w:rPr>
          <w:rFonts w:ascii="Times New Roman" w:eastAsia="Times New Roman" w:hAnsi="Times New Roman" w:cs="Times New Roman"/>
          <w:lang w:eastAsia="id-ID"/>
        </w:rPr>
        <w:t>Trawangan</w:t>
      </w:r>
      <w:proofErr w:type="spellEnd"/>
      <w:r w:rsidR="00725B46" w:rsidRPr="001D63E8">
        <w:rPr>
          <w:rFonts w:ascii="Times New Roman" w:eastAsia="Times New Roman" w:hAnsi="Times New Roman" w:cs="Times New Roman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lang w:eastAsia="id-ID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lang w:eastAsia="id-ID"/>
        </w:rPr>
        <w:t>Desember</w:t>
      </w:r>
      <w:proofErr w:type="spellEnd"/>
      <w:r>
        <w:rPr>
          <w:rFonts w:ascii="Times New Roman" w:eastAsia="Times New Roman" w:hAnsi="Times New Roman" w:cs="Times New Roman"/>
          <w:lang w:eastAsia="id-ID"/>
        </w:rPr>
        <w:t xml:space="preserve"> 2020</w:t>
      </w:r>
      <w:r w:rsidR="00725B46" w:rsidRPr="001D63E8">
        <w:rPr>
          <w:rFonts w:ascii="Times New Roman" w:eastAsia="Times New Roman" w:hAnsi="Times New Roman" w:cs="Times New Roman"/>
          <w:lang w:eastAsia="id-ID"/>
        </w:rPr>
        <w:t>;</w:t>
      </w:r>
    </w:p>
    <w:p w14:paraId="0F48321D" w14:textId="6CFD077D" w:rsidR="00064569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F020FC8" w14:textId="77777777" w:rsidR="001D63E8" w:rsidRPr="001D63E8" w:rsidRDefault="001D63E8" w:rsidP="001D6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1D63E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Milik Negara/Daerah,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Milik Negara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>.</w:t>
      </w:r>
    </w:p>
    <w:p w14:paraId="4759EF73" w14:textId="77777777" w:rsidR="001D63E8" w:rsidRPr="001D63E8" w:rsidRDefault="001D63E8" w:rsidP="001D6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(SAP),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>.</w:t>
      </w:r>
    </w:p>
    <w:p w14:paraId="0B89D41E" w14:textId="77777777" w:rsidR="001D63E8" w:rsidRPr="001D63E8" w:rsidRDefault="001D63E8" w:rsidP="001D6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1D63E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Milik Negara/Daerah.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Kuasa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Milik Negara/Daerah yang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penguasaannya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>:</w:t>
      </w:r>
    </w:p>
    <w:p w14:paraId="419B2C42" w14:textId="77777777" w:rsidR="001D63E8" w:rsidRPr="001D63E8" w:rsidRDefault="001D63E8" w:rsidP="001D63E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FDC401" w14:textId="77777777" w:rsidR="001D63E8" w:rsidRPr="001D63E8" w:rsidRDefault="001D63E8" w:rsidP="001D63E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>; dan</w:t>
      </w:r>
    </w:p>
    <w:p w14:paraId="341AF2EE" w14:textId="17BA9529" w:rsidR="001D63E8" w:rsidRPr="00E95494" w:rsidRDefault="001D63E8" w:rsidP="003B0BF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8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D63E8">
        <w:rPr>
          <w:rFonts w:ascii="Times New Roman" w:hAnsi="Times New Roman" w:cs="Times New Roman"/>
          <w:sz w:val="24"/>
          <w:szCs w:val="24"/>
        </w:rPr>
        <w:t>.</w:t>
      </w:r>
    </w:p>
    <w:p w14:paraId="50B6CF9C" w14:textId="7463CF77" w:rsidR="00717B50" w:rsidRDefault="00B83E03" w:rsidP="003B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Milik Daerah,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Milik Daerah (BMD)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>.</w:t>
      </w:r>
      <w:r w:rsidR="009B274E"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divestasi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364512">
        <w:rPr>
          <w:rFonts w:ascii="Times New Roman" w:hAnsi="Times New Roman" w:cs="Times New Roman"/>
          <w:sz w:val="24"/>
          <w:szCs w:val="24"/>
        </w:rPr>
        <w:t>.</w:t>
      </w:r>
    </w:p>
    <w:p w14:paraId="7F099970" w14:textId="6035F400" w:rsidR="00717B50" w:rsidRPr="00717B50" w:rsidRDefault="009B274E" w:rsidP="003B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E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83E03">
        <w:rPr>
          <w:rFonts w:ascii="Times New Roman" w:hAnsi="Times New Roman" w:cs="Times New Roman"/>
          <w:sz w:val="24"/>
          <w:szCs w:val="24"/>
        </w:rPr>
        <w:t xml:space="preserve"> Milik Daerah</w:t>
      </w:r>
      <w:r w:rsidRPr="00717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Milik Daerah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Milik Daerah yang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Milik Daerah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Milik Daerah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3" w:rsidRPr="00717B5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83E03" w:rsidRPr="00717B50">
        <w:rPr>
          <w:rFonts w:ascii="Times New Roman" w:hAnsi="Times New Roman" w:cs="Times New Roman"/>
          <w:sz w:val="24"/>
          <w:szCs w:val="24"/>
        </w:rPr>
        <w:t>.</w:t>
      </w:r>
    </w:p>
    <w:p w14:paraId="491D6AC0" w14:textId="053B999F" w:rsidR="00AD7F1E" w:rsidRDefault="00717B50" w:rsidP="003B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79 dan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Milik Daerah.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BMD </w:t>
      </w:r>
      <w:r w:rsidR="009B274E" w:rsidRPr="009B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9B27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</w:p>
    <w:p w14:paraId="75D1AA46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pertimbangan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teknis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memperhatikan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kepentingan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kepentingan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77E4315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sepanjang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mengganggu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DDD3A71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tanpa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memerlukan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persetujuan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DPRD.</w:t>
      </w:r>
    </w:p>
    <w:p w14:paraId="0B17F50B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pemeliharaan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pengamanan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dibebankan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120615E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persiapan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penunjukkan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dibebankan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APBD.</w:t>
      </w:r>
    </w:p>
    <w:p w14:paraId="424419BB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disetorkan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seluruhnya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Daerah.</w:t>
      </w:r>
    </w:p>
    <w:p w14:paraId="499BF8D2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Layanan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disetorkan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seluruhnya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Badan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Layanan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Daerah.</w:t>
      </w:r>
    </w:p>
    <w:p w14:paraId="7FA55A9D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Layanan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disetorkan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seluruhnya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Daerah.</w:t>
      </w:r>
    </w:p>
    <w:p w14:paraId="0592406F" w14:textId="77777777" w:rsidR="009B274E" w:rsidRPr="00717B50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dijaminkan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digadaikan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7CC1C55" w14:textId="4AC3022D" w:rsidR="00717B50" w:rsidRPr="003B0BFA" w:rsidRDefault="009B274E" w:rsidP="00E95494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retribusi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dikenakan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proofErr w:type="gram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AD1FF90" w14:textId="51677888" w:rsidR="00AD7F1E" w:rsidRPr="00717B50" w:rsidRDefault="00717B50" w:rsidP="003B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B274E" w:rsidRPr="00717B50">
        <w:rPr>
          <w:rFonts w:ascii="Times New Roman" w:hAnsi="Times New Roman" w:cs="Times New Roman"/>
          <w:sz w:val="24"/>
          <w:szCs w:val="24"/>
        </w:rPr>
        <w:t xml:space="preserve"> Milik </w:t>
      </w:r>
      <w:proofErr w:type="spellStart"/>
      <w:r w:rsidR="009B274E" w:rsidRPr="00717B50">
        <w:rPr>
          <w:rFonts w:ascii="Times New Roman" w:hAnsi="Times New Roman" w:cs="Times New Roman"/>
          <w:sz w:val="24"/>
          <w:szCs w:val="24"/>
        </w:rPr>
        <w:t>Daerah.</w:t>
      </w:r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A1646E" w14:textId="77777777" w:rsidR="009B274E" w:rsidRPr="00717B50" w:rsidRDefault="009B274E" w:rsidP="00E95494">
      <w:pPr>
        <w:pStyle w:val="ListParagraph"/>
        <w:numPr>
          <w:ilvl w:val="0"/>
          <w:numId w:val="4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 </w:t>
      </w:r>
    </w:p>
    <w:p w14:paraId="5396939F" w14:textId="77777777" w:rsidR="009B274E" w:rsidRPr="00717B50" w:rsidRDefault="009B274E" w:rsidP="00E95494">
      <w:pPr>
        <w:pStyle w:val="ListParagraph"/>
        <w:numPr>
          <w:ilvl w:val="0"/>
          <w:numId w:val="4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Pinjam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Pakai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 </w:t>
      </w:r>
    </w:p>
    <w:p w14:paraId="52AA156D" w14:textId="77777777" w:rsidR="009B274E" w:rsidRPr="00717B50" w:rsidRDefault="009B274E" w:rsidP="00E95494">
      <w:pPr>
        <w:pStyle w:val="ListParagraph"/>
        <w:numPr>
          <w:ilvl w:val="0"/>
          <w:numId w:val="4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Kerjasama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(KSP);  </w:t>
      </w:r>
    </w:p>
    <w:p w14:paraId="6204C831" w14:textId="77777777" w:rsidR="009B274E" w:rsidRPr="00717B50" w:rsidRDefault="009B274E" w:rsidP="00E95494">
      <w:pPr>
        <w:pStyle w:val="ListParagraph"/>
        <w:numPr>
          <w:ilvl w:val="0"/>
          <w:numId w:val="4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(BGS)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(BSG);  </w:t>
      </w:r>
    </w:p>
    <w:p w14:paraId="39975689" w14:textId="0A177C3E" w:rsidR="00511C2C" w:rsidRPr="00511C2C" w:rsidRDefault="009B274E" w:rsidP="00E95494">
      <w:pPr>
        <w:pStyle w:val="ListParagraph"/>
        <w:numPr>
          <w:ilvl w:val="0"/>
          <w:numId w:val="4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Kerjasama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Penyediaan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Infrastruktur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(KSPI).  </w:t>
      </w:r>
    </w:p>
    <w:p w14:paraId="467BED3D" w14:textId="7093DFF5" w:rsidR="00717B50" w:rsidRPr="00717B50" w:rsidRDefault="00717B50" w:rsidP="003B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BMD</w:t>
      </w:r>
      <w:r w:rsidR="0051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1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2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511C2C">
        <w:rPr>
          <w:rFonts w:ascii="Times New Roman" w:hAnsi="Times New Roman" w:cs="Times New Roman"/>
          <w:sz w:val="24"/>
          <w:szCs w:val="24"/>
        </w:rPr>
        <w:t xml:space="preserve"> 83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2C"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11C2C" w:rsidRPr="00717B50">
        <w:rPr>
          <w:rFonts w:ascii="Times New Roman" w:hAnsi="Times New Roman" w:cs="Times New Roman"/>
          <w:sz w:val="24"/>
          <w:szCs w:val="24"/>
        </w:rPr>
        <w:t xml:space="preserve"> Milik </w:t>
      </w:r>
      <w:proofErr w:type="gramStart"/>
      <w:r w:rsidR="00511C2C" w:rsidRPr="00717B50">
        <w:rPr>
          <w:rFonts w:ascii="Times New Roman" w:hAnsi="Times New Roman" w:cs="Times New Roman"/>
          <w:sz w:val="24"/>
          <w:szCs w:val="24"/>
        </w:rPr>
        <w:t>Daerah</w:t>
      </w:r>
      <w:r w:rsidR="00511C2C">
        <w:rPr>
          <w:rFonts w:ascii="Times New Roman" w:hAnsi="Times New Roman" w:cs="Times New Roman"/>
          <w:sz w:val="24"/>
          <w:szCs w:val="24"/>
        </w:rPr>
        <w:t xml:space="preserve"> </w:t>
      </w:r>
      <w:r w:rsidRPr="00717B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>:</w:t>
      </w:r>
    </w:p>
    <w:p w14:paraId="509B2A2A" w14:textId="77777777" w:rsidR="00717B50" w:rsidRPr="00717B50" w:rsidRDefault="00717B50" w:rsidP="00E95494">
      <w:pPr>
        <w:pStyle w:val="ListParagraph"/>
        <w:numPr>
          <w:ilvl w:val="0"/>
          <w:numId w:val="5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penyewa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6BAD7AA7" w14:textId="77777777" w:rsidR="00717B50" w:rsidRPr="00717B50" w:rsidRDefault="00717B50" w:rsidP="00E95494">
      <w:pPr>
        <w:pStyle w:val="ListParagraph"/>
        <w:numPr>
          <w:ilvl w:val="0"/>
          <w:numId w:val="5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peminjam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pakai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Pinjam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Pakai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794739FF" w14:textId="77777777" w:rsidR="00717B50" w:rsidRPr="00717B50" w:rsidRDefault="00717B50" w:rsidP="00E95494">
      <w:pPr>
        <w:pStyle w:val="ListParagraph"/>
        <w:numPr>
          <w:ilvl w:val="0"/>
          <w:numId w:val="5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KSP,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KSP;</w:t>
      </w:r>
    </w:p>
    <w:p w14:paraId="3C88EA0B" w14:textId="77777777" w:rsidR="00717B50" w:rsidRPr="00717B50" w:rsidRDefault="00717B50" w:rsidP="00E95494">
      <w:pPr>
        <w:pStyle w:val="ListParagraph"/>
        <w:numPr>
          <w:ilvl w:val="0"/>
          <w:numId w:val="5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BGS/BSG,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BGS/BSG; dan</w:t>
      </w:r>
    </w:p>
    <w:p w14:paraId="6B876BF4" w14:textId="77777777" w:rsidR="00717B50" w:rsidRPr="00717B50" w:rsidRDefault="00717B50" w:rsidP="00E95494">
      <w:pPr>
        <w:pStyle w:val="ListParagraph"/>
        <w:numPr>
          <w:ilvl w:val="0"/>
          <w:numId w:val="5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KSPI,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KSPI.</w:t>
      </w:r>
    </w:p>
    <w:p w14:paraId="7015B504" w14:textId="2E1812F6" w:rsidR="00717B50" w:rsidRPr="00717B50" w:rsidRDefault="00717B50" w:rsidP="00717B50">
      <w:pPr>
        <w:pStyle w:val="ListParagraph"/>
        <w:spacing w:after="0" w:line="36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717B50">
        <w:rPr>
          <w:rFonts w:ascii="Times New Roman" w:hAnsi="Times New Roman" w:cs="Times New Roman"/>
          <w:sz w:val="24"/>
          <w:szCs w:val="24"/>
        </w:rPr>
        <w:t xml:space="preserve">Mitra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>:</w:t>
      </w:r>
    </w:p>
    <w:p w14:paraId="0546EB67" w14:textId="77777777" w:rsidR="00717B50" w:rsidRPr="00717B50" w:rsidRDefault="00717B50" w:rsidP="00E95494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0CC16FC4" w14:textId="77777777" w:rsidR="00717B50" w:rsidRPr="00717B50" w:rsidRDefault="00717B50" w:rsidP="00E95494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73E95F28" w14:textId="77777777" w:rsidR="00717B50" w:rsidRPr="00717B50" w:rsidRDefault="00717B50" w:rsidP="00E95494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pengamanan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pemeliharaan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5AF48122" w14:textId="77777777" w:rsidR="00717B50" w:rsidRPr="00717B50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mengembalikan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 dan</w:t>
      </w:r>
    </w:p>
    <w:p w14:paraId="13E79D1F" w14:textId="70454FEC" w:rsidR="00717B50" w:rsidRPr="00717B50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ditentukan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3983E28" w14:textId="394BD1DC" w:rsidR="009B274E" w:rsidRPr="00717B50" w:rsidRDefault="009B274E" w:rsidP="00A66D4D">
      <w:pPr>
        <w:pStyle w:val="ListParagraph"/>
        <w:numPr>
          <w:ilvl w:val="0"/>
          <w:numId w:val="3"/>
        </w:numPr>
        <w:spacing w:after="0" w:line="36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17B5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17B50">
        <w:rPr>
          <w:rFonts w:ascii="Times New Roman" w:hAnsi="Times New Roman" w:cs="Times New Roman"/>
          <w:sz w:val="24"/>
          <w:szCs w:val="24"/>
        </w:rPr>
        <w:t xml:space="preserve"> 33</w:t>
      </w:r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Menteri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Negeri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19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2016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Milik Daerah</w:t>
      </w:r>
      <w:r w:rsidRPr="00717B50">
        <w:rPr>
          <w:rFonts w:ascii="Times New Roman" w:hAnsi="Times New Roman" w:cs="Times New Roman"/>
          <w:sz w:val="24"/>
          <w:szCs w:val="24"/>
        </w:rPr>
        <w:t>.</w:t>
      </w:r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proofErr w:type="gram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imbalan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Penyewaan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dijelaskan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7B50"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="00717B50"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112 </w:t>
      </w:r>
      <w:proofErr w:type="spellStart"/>
      <w:r w:rsidR="00717B50"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="00717B50"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(1)</w:t>
      </w:r>
      <w:r w:rsidR="00717B50" w:rsidRPr="00210DBF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Menteri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Negeri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19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2016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B50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717B50">
        <w:rPr>
          <w:rFonts w:ascii="Times New Roman" w:hAnsi="Times New Roman" w:cs="Times New Roman"/>
          <w:sz w:val="24"/>
          <w:szCs w:val="24"/>
          <w:lang w:val="en-ID"/>
        </w:rPr>
        <w:t xml:space="preserve"> Milik Daerah</w:t>
      </w:r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14:paraId="12956138" w14:textId="77777777" w:rsidR="009B274E" w:rsidRPr="00717B50" w:rsidRDefault="009B274E" w:rsidP="00A66D4D">
      <w:pPr>
        <w:pStyle w:val="ListParagraph"/>
        <w:numPr>
          <w:ilvl w:val="0"/>
          <w:numId w:val="6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mengoptimalkan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pendayagunaan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07BF6F46" w14:textId="77777777" w:rsidR="009B274E" w:rsidRPr="00717B50" w:rsidRDefault="009B274E" w:rsidP="00A66D4D">
      <w:pPr>
        <w:pStyle w:val="ListParagraph"/>
        <w:numPr>
          <w:ilvl w:val="0"/>
          <w:numId w:val="6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memperoleh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; dan/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</w:p>
    <w:p w14:paraId="2DD30268" w14:textId="2EAE9087" w:rsidR="00AD7F1E" w:rsidRPr="00717B50" w:rsidRDefault="009B274E" w:rsidP="00A66D4D">
      <w:pPr>
        <w:pStyle w:val="ListParagraph"/>
        <w:numPr>
          <w:ilvl w:val="0"/>
          <w:numId w:val="6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mencegah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  <w:r w:rsidRPr="00717B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1FA0DA1" w14:textId="39BC639C" w:rsidR="00D95A89" w:rsidRPr="003B0BFA" w:rsidRDefault="00D95A89" w:rsidP="003B0BFA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BF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Milik Daerah.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disewa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9C397" w14:textId="77777777" w:rsidR="00D95A89" w:rsidRPr="003B0BFA" w:rsidRDefault="00D95A89" w:rsidP="00A66D4D">
      <w:pPr>
        <w:pStyle w:val="ListParagraph"/>
        <w:numPr>
          <w:ilvl w:val="0"/>
          <w:numId w:val="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Tanah dan/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diserahkan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/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Walikota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persetujuan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Gubernur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/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Walikota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);</w:t>
      </w:r>
    </w:p>
    <w:p w14:paraId="13013320" w14:textId="77777777" w:rsidR="00D95A89" w:rsidRPr="003B0BFA" w:rsidRDefault="00D95A89" w:rsidP="00A66D4D">
      <w:pPr>
        <w:pStyle w:val="ListParagraph"/>
        <w:numPr>
          <w:ilvl w:val="0"/>
          <w:numId w:val="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sebagian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tanah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persetujuan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); dan/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</w:p>
    <w:p w14:paraId="0460135A" w14:textId="28032253" w:rsidR="00511C2C" w:rsidRPr="00364512" w:rsidRDefault="00D95A89" w:rsidP="00A66D4D">
      <w:pPr>
        <w:pStyle w:val="ListParagraph"/>
        <w:numPr>
          <w:ilvl w:val="0"/>
          <w:numId w:val="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tanah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persetujuan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</w:p>
    <w:p w14:paraId="6A407EFB" w14:textId="0BE5002A" w:rsidR="00113FE0" w:rsidRPr="003B0BFA" w:rsidRDefault="00364512" w:rsidP="003B0BFA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113FE0" w:rsidRPr="003B0BFA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="00113FE0" w:rsidRPr="003B0BF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13FE0"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E0" w:rsidRPr="003B0BF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113FE0"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E0" w:rsidRPr="003B0BFA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113FE0"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F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0BFA">
        <w:rPr>
          <w:rFonts w:ascii="Times New Roman" w:hAnsi="Times New Roman" w:cs="Times New Roman"/>
          <w:sz w:val="24"/>
          <w:szCs w:val="24"/>
        </w:rPr>
        <w:t xml:space="preserve"> Milik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FE0" w:rsidRPr="003B0B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13FE0" w:rsidRPr="003B0BFA">
        <w:rPr>
          <w:rFonts w:ascii="Times New Roman" w:hAnsi="Times New Roman" w:cs="Times New Roman"/>
          <w:sz w:val="24"/>
          <w:szCs w:val="24"/>
        </w:rPr>
        <w:t>:</w:t>
      </w:r>
    </w:p>
    <w:p w14:paraId="6E308965" w14:textId="402A309C" w:rsidR="00AD7F1E" w:rsidRPr="00113FE0" w:rsidRDefault="00113FE0" w:rsidP="00A66D4D">
      <w:pPr>
        <w:pStyle w:val="ListParagraph"/>
        <w:numPr>
          <w:ilvl w:val="0"/>
          <w:numId w:val="7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Pasal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130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seluruhnya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disetorkan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bendahara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paling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lambat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(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ditandatanganinya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bukti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setor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terpisahkan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3AA91C1" w14:textId="3B36712C" w:rsidR="00113FE0" w:rsidRPr="00113FE0" w:rsidRDefault="00113FE0" w:rsidP="00A66D4D">
      <w:pPr>
        <w:pStyle w:val="ListParagraph"/>
        <w:numPr>
          <w:ilvl w:val="0"/>
          <w:numId w:val="7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131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(1)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s.d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(5)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Penyetoran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bertahap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dituangkan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Penyetoran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bertahap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memperhitungkan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besaran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perhitungan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Perhitungan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Penilai</w:t>
      </w:r>
      <w:proofErr w:type="spellEnd"/>
    </w:p>
    <w:p w14:paraId="1363231C" w14:textId="77777777" w:rsidR="00717B50" w:rsidRDefault="00113FE0" w:rsidP="007F6B03">
      <w:pPr>
        <w:pStyle w:val="ListParagraph"/>
        <w:numPr>
          <w:ilvl w:val="0"/>
          <w:numId w:val="7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131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(6) dan (7)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Penyetoran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bertahap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sepanjang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aspek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finansial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ditandatangani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penyewa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sekurang-kurangnya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memuat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ketidakmampuan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lunas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B0BFA">
        <w:rPr>
          <w:rFonts w:ascii="Times New Roman" w:eastAsia="Times New Roman" w:hAnsi="Times New Roman" w:cs="Times New Roman"/>
          <w:sz w:val="24"/>
          <w:szCs w:val="24"/>
          <w:lang w:eastAsia="id-ID"/>
        </w:rPr>
        <w:t>bertahap</w:t>
      </w:r>
      <w:proofErr w:type="spellEnd"/>
      <w:r w:rsidR="007F6B0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FD7A379" w14:textId="77777777" w:rsidR="007F6B03" w:rsidRDefault="007F6B03" w:rsidP="007F6B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8853607" w14:textId="772D3690" w:rsidR="00640E08" w:rsidRPr="00725B46" w:rsidRDefault="00640E08" w:rsidP="009F03C4">
      <w:pPr>
        <w:pStyle w:val="ListParagraph"/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640E08" w:rsidRPr="00725B46" w:rsidSect="005305FF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3F20" w14:textId="77777777" w:rsidR="00345C92" w:rsidRDefault="00345C92" w:rsidP="00B83E03">
      <w:pPr>
        <w:spacing w:after="0" w:line="240" w:lineRule="auto"/>
      </w:pPr>
      <w:r>
        <w:separator/>
      </w:r>
    </w:p>
  </w:endnote>
  <w:endnote w:type="continuationSeparator" w:id="0">
    <w:p w14:paraId="2C0A9083" w14:textId="77777777" w:rsidR="00345C92" w:rsidRDefault="00345C92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9562" w14:textId="77777777" w:rsidR="00922A21" w:rsidRDefault="00922A21" w:rsidP="00922A21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C046A" w:rsidRPr="008C046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798114" w14:textId="77777777" w:rsidR="00922A21" w:rsidRDefault="00922A21" w:rsidP="00922A21">
    <w:pPr>
      <w:pStyle w:val="Footer"/>
    </w:pPr>
  </w:p>
  <w:p w14:paraId="7A569859" w14:textId="77777777" w:rsidR="00922A21" w:rsidRDefault="0092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3A77" w14:textId="77777777" w:rsidR="00345C92" w:rsidRDefault="00345C92" w:rsidP="00B83E03">
      <w:pPr>
        <w:spacing w:after="0" w:line="240" w:lineRule="auto"/>
      </w:pPr>
      <w:r>
        <w:separator/>
      </w:r>
    </w:p>
  </w:footnote>
  <w:footnote w:type="continuationSeparator" w:id="0">
    <w:p w14:paraId="6140C260" w14:textId="77777777" w:rsidR="00345C92" w:rsidRDefault="00345C92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40B6"/>
    <w:multiLevelType w:val="hybridMultilevel"/>
    <w:tmpl w:val="BB3694A0"/>
    <w:lvl w:ilvl="0" w:tplc="2664243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3C1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B64D1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B72EE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94B577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1461DA"/>
    <w:multiLevelType w:val="hybridMultilevel"/>
    <w:tmpl w:val="C15C6938"/>
    <w:lvl w:ilvl="0" w:tplc="D03C2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376C5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717" w:hanging="360"/>
      </w:p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8" w15:restartNumberingAfterBreak="0">
    <w:nsid w:val="37817EF8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7F57D5E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DD0154F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B4B38"/>
    <w:multiLevelType w:val="hybridMultilevel"/>
    <w:tmpl w:val="EF867276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3414A07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41E6BCB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54C4345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4B5C"/>
    <w:multiLevelType w:val="hybridMultilevel"/>
    <w:tmpl w:val="830863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E5B58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B24B65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FAD0E84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5B49DB"/>
    <w:multiLevelType w:val="hybridMultilevel"/>
    <w:tmpl w:val="589A9286"/>
    <w:lvl w:ilvl="0" w:tplc="C0AADFB8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54A620C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B427298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18"/>
  </w:num>
  <w:num w:numId="7">
    <w:abstractNumId w:val="14"/>
  </w:num>
  <w:num w:numId="8">
    <w:abstractNumId w:val="21"/>
  </w:num>
  <w:num w:numId="9">
    <w:abstractNumId w:val="17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5"/>
  </w:num>
  <w:num w:numId="17">
    <w:abstractNumId w:val="22"/>
  </w:num>
  <w:num w:numId="18">
    <w:abstractNumId w:val="7"/>
  </w:num>
  <w:num w:numId="19">
    <w:abstractNumId w:val="20"/>
  </w:num>
  <w:num w:numId="20">
    <w:abstractNumId w:val="2"/>
  </w:num>
  <w:num w:numId="21">
    <w:abstractNumId w:val="16"/>
  </w:num>
  <w:num w:numId="22">
    <w:abstractNumId w:val="11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429"/>
    <w:rsid w:val="00095706"/>
    <w:rsid w:val="00110FC2"/>
    <w:rsid w:val="00113FE0"/>
    <w:rsid w:val="00127D6D"/>
    <w:rsid w:val="00146C62"/>
    <w:rsid w:val="001D63E8"/>
    <w:rsid w:val="001F100B"/>
    <w:rsid w:val="002A4F02"/>
    <w:rsid w:val="002B3789"/>
    <w:rsid w:val="002D0563"/>
    <w:rsid w:val="002D1A60"/>
    <w:rsid w:val="002D1C69"/>
    <w:rsid w:val="002E0D79"/>
    <w:rsid w:val="002F5165"/>
    <w:rsid w:val="00312225"/>
    <w:rsid w:val="00312EC8"/>
    <w:rsid w:val="00336A66"/>
    <w:rsid w:val="00345C92"/>
    <w:rsid w:val="00364512"/>
    <w:rsid w:val="00393CFB"/>
    <w:rsid w:val="003B0BFA"/>
    <w:rsid w:val="003C73F4"/>
    <w:rsid w:val="003E3B25"/>
    <w:rsid w:val="00405DDE"/>
    <w:rsid w:val="0045327E"/>
    <w:rsid w:val="004843AB"/>
    <w:rsid w:val="004949D9"/>
    <w:rsid w:val="004F3C63"/>
    <w:rsid w:val="005074C1"/>
    <w:rsid w:val="00511C2C"/>
    <w:rsid w:val="005305FF"/>
    <w:rsid w:val="00536391"/>
    <w:rsid w:val="00557EAD"/>
    <w:rsid w:val="00563BC3"/>
    <w:rsid w:val="005A27C0"/>
    <w:rsid w:val="005A7F7E"/>
    <w:rsid w:val="00640E08"/>
    <w:rsid w:val="0067459A"/>
    <w:rsid w:val="006C19C4"/>
    <w:rsid w:val="007147CA"/>
    <w:rsid w:val="00717B50"/>
    <w:rsid w:val="00721AF9"/>
    <w:rsid w:val="00725B46"/>
    <w:rsid w:val="007728E5"/>
    <w:rsid w:val="00774907"/>
    <w:rsid w:val="007D0299"/>
    <w:rsid w:val="007F6B03"/>
    <w:rsid w:val="00813FCB"/>
    <w:rsid w:val="00816B29"/>
    <w:rsid w:val="00830B05"/>
    <w:rsid w:val="0084413D"/>
    <w:rsid w:val="00880CF0"/>
    <w:rsid w:val="00881FA2"/>
    <w:rsid w:val="00897B7A"/>
    <w:rsid w:val="008C046A"/>
    <w:rsid w:val="008C29A4"/>
    <w:rsid w:val="008D78F3"/>
    <w:rsid w:val="0090565C"/>
    <w:rsid w:val="009104B9"/>
    <w:rsid w:val="009114FE"/>
    <w:rsid w:val="00922A21"/>
    <w:rsid w:val="009434FA"/>
    <w:rsid w:val="00962A1B"/>
    <w:rsid w:val="009B274E"/>
    <w:rsid w:val="009E6928"/>
    <w:rsid w:val="009F03C4"/>
    <w:rsid w:val="009F4679"/>
    <w:rsid w:val="00A03965"/>
    <w:rsid w:val="00A3147F"/>
    <w:rsid w:val="00A41524"/>
    <w:rsid w:val="00A66D4D"/>
    <w:rsid w:val="00A8206D"/>
    <w:rsid w:val="00AB50F7"/>
    <w:rsid w:val="00AD6D66"/>
    <w:rsid w:val="00AD7F1E"/>
    <w:rsid w:val="00AE1DF4"/>
    <w:rsid w:val="00B0048D"/>
    <w:rsid w:val="00B226B0"/>
    <w:rsid w:val="00B30C5F"/>
    <w:rsid w:val="00B372C8"/>
    <w:rsid w:val="00B44D3A"/>
    <w:rsid w:val="00B57174"/>
    <w:rsid w:val="00B62C9F"/>
    <w:rsid w:val="00B83E03"/>
    <w:rsid w:val="00BC327E"/>
    <w:rsid w:val="00BF3BEB"/>
    <w:rsid w:val="00C102A3"/>
    <w:rsid w:val="00C43631"/>
    <w:rsid w:val="00C655F1"/>
    <w:rsid w:val="00C67F5A"/>
    <w:rsid w:val="00CA4C9D"/>
    <w:rsid w:val="00CB2803"/>
    <w:rsid w:val="00D911B1"/>
    <w:rsid w:val="00D95A89"/>
    <w:rsid w:val="00DF1116"/>
    <w:rsid w:val="00DF7C2A"/>
    <w:rsid w:val="00E112B3"/>
    <w:rsid w:val="00E23458"/>
    <w:rsid w:val="00E25C52"/>
    <w:rsid w:val="00E370CB"/>
    <w:rsid w:val="00E41A23"/>
    <w:rsid w:val="00E607D6"/>
    <w:rsid w:val="00E95494"/>
    <w:rsid w:val="00EB0014"/>
    <w:rsid w:val="00EB3DD4"/>
    <w:rsid w:val="00F1149F"/>
    <w:rsid w:val="00F80F3A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character" w:styleId="UnresolvedMention">
    <w:name w:val="Unresolved Mention"/>
    <w:basedOn w:val="DefaultParagraphFont"/>
    <w:uiPriority w:val="99"/>
    <w:semiHidden/>
    <w:unhideWhenUsed/>
    <w:rsid w:val="001D6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aran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5ACB-FF89-4FDD-AFB0-0F69D0AF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2019-10-01T04:22:00Z</cp:lastPrinted>
  <dcterms:created xsi:type="dcterms:W3CDTF">2020-12-07T02:32:00Z</dcterms:created>
  <dcterms:modified xsi:type="dcterms:W3CDTF">2020-12-07T02:43:00Z</dcterms:modified>
</cp:coreProperties>
</file>