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38" w:rsidRDefault="00087C6A" w:rsidP="00B5242E">
      <w:pPr>
        <w:spacing w:after="120" w:line="280" w:lineRule="exact"/>
        <w:jc w:val="center"/>
        <w:rPr>
          <w:rFonts w:ascii="Times New Roman" w:hAnsi="Times New Roman" w:cs="Times New Roman"/>
          <w:b/>
          <w:sz w:val="28"/>
          <w:szCs w:val="28"/>
        </w:rPr>
      </w:pPr>
      <w:r w:rsidRPr="00087C6A">
        <w:rPr>
          <w:rFonts w:ascii="Times New Roman" w:hAnsi="Times New Roman" w:cs="Times New Roman"/>
          <w:b/>
          <w:sz w:val="28"/>
          <w:szCs w:val="28"/>
        </w:rPr>
        <w:t>Vonis Pungli Dana Desa di Sekotong, Jaksa Belum Tentukan Sikap</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B5242E" w:rsidP="00B5242E">
                            <w:pPr>
                              <w:jc w:val="center"/>
                            </w:pPr>
                            <w:r w:rsidRPr="00B5242E">
                              <w:rPr>
                                <w:noProof/>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" fillcolor="white [3201]" stroked="f" strokeweight=".5pt">
                <v:textbox>
                  <w:txbxContent>
                    <w:p w:rsidR="00B5242E" w:rsidRDefault="00B5242E" w:rsidP="00B5242E">
                      <w:pPr>
                        <w:jc w:val="center"/>
                      </w:pPr>
                      <w:r w:rsidRPr="00B5242E">
                        <w:rPr>
                          <w:noProof/>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B5242E" w:rsidRDefault="00B5242E" w:rsidP="00B5242E">
      <w:pPr>
        <w:spacing w:before="240" w:after="120" w:line="280" w:lineRule="exact"/>
        <w:jc w:val="center"/>
        <w:rPr>
          <w:rFonts w:ascii="Times New Roman" w:hAnsi="Times New Roman" w:cs="Times New Roman"/>
          <w:i/>
          <w:sz w:val="24"/>
          <w:szCs w:val="28"/>
          <w:lang w:val="id-ID"/>
        </w:rPr>
      </w:pPr>
      <w:r w:rsidRPr="00B5242E">
        <w:rPr>
          <w:rFonts w:ascii="Times New Roman" w:hAnsi="Times New Roman" w:cs="Times New Roman"/>
          <w:i/>
          <w:sz w:val="24"/>
          <w:szCs w:val="28"/>
          <w:lang w:val="id-ID"/>
        </w:rPr>
        <w:t>Trubus.news</w:t>
      </w:r>
    </w:p>
    <w:p w:rsidR="00B5242E" w:rsidRDefault="00B5242E" w:rsidP="00B5242E">
      <w:pPr>
        <w:spacing w:after="120" w:line="280" w:lineRule="exact"/>
        <w:jc w:val="both"/>
        <w:rPr>
          <w:rFonts w:ascii="Times New Roman" w:hAnsi="Times New Roman" w:cs="Times New Roman"/>
          <w:b/>
          <w:sz w:val="24"/>
          <w:szCs w:val="28"/>
        </w:rPr>
      </w:pPr>
    </w:p>
    <w:p w:rsidR="00087C6A" w:rsidRPr="00087C6A" w:rsidRDefault="00087C6A" w:rsidP="00087C6A">
      <w:pPr>
        <w:spacing w:after="120" w:line="360" w:lineRule="auto"/>
        <w:jc w:val="both"/>
        <w:rPr>
          <w:rFonts w:ascii="Times New Roman" w:hAnsi="Times New Roman" w:cs="Times New Roman"/>
          <w:sz w:val="24"/>
          <w:szCs w:val="28"/>
        </w:rPr>
      </w:pPr>
      <w:r w:rsidRPr="00087C6A">
        <w:rPr>
          <w:rFonts w:ascii="Times New Roman" w:hAnsi="Times New Roman" w:cs="Times New Roman"/>
          <w:b/>
          <w:sz w:val="24"/>
          <w:szCs w:val="28"/>
        </w:rPr>
        <w:t>MATARAM</w:t>
      </w:r>
      <w:r>
        <w:rPr>
          <w:rFonts w:ascii="Times New Roman" w:hAnsi="Times New Roman" w:cs="Times New Roman"/>
          <w:b/>
          <w:sz w:val="24"/>
          <w:szCs w:val="28"/>
          <w:lang w:val="id-ID"/>
        </w:rPr>
        <w:t xml:space="preserve"> </w:t>
      </w:r>
      <w:r w:rsidRPr="00087C6A">
        <w:rPr>
          <w:rFonts w:ascii="Times New Roman" w:hAnsi="Times New Roman" w:cs="Times New Roman"/>
          <w:b/>
          <w:sz w:val="24"/>
          <w:szCs w:val="28"/>
        </w:rPr>
        <w:t>-</w:t>
      </w:r>
      <w:r>
        <w:rPr>
          <w:rFonts w:ascii="Times New Roman" w:hAnsi="Times New Roman" w:cs="Times New Roman"/>
          <w:b/>
          <w:sz w:val="24"/>
          <w:szCs w:val="28"/>
          <w:lang w:val="id-ID"/>
        </w:rPr>
        <w:t xml:space="preserve"> </w:t>
      </w:r>
      <w:r w:rsidRPr="00087C6A">
        <w:rPr>
          <w:rFonts w:ascii="Times New Roman" w:hAnsi="Times New Roman" w:cs="Times New Roman"/>
          <w:sz w:val="24"/>
          <w:szCs w:val="28"/>
        </w:rPr>
        <w:t>Jaksa telah melayangkan banding atas perkara korupsi pungli pencairan dana desa di Sekotong, Lombok Barat (Lobar). Hasilnya, hakim Pengadilan Tinggi (PT) NTB hanya menguatkan putusan Pengadilan Negeri (PN) Tipikor Mataram atas terdakwa Ramang. ”Kita belum tentukan apakah akan melayangkan kasasi atau tidak,” kata Kajari Mataram Yusuf, Jumat (19/6).</w:t>
      </w:r>
    </w:p>
    <w:p w:rsidR="00087C6A" w:rsidRPr="00087C6A" w:rsidRDefault="00087C6A" w:rsidP="00087C6A">
      <w:pPr>
        <w:spacing w:after="120" w:line="360" w:lineRule="auto"/>
        <w:jc w:val="both"/>
        <w:rPr>
          <w:rFonts w:ascii="Times New Roman" w:hAnsi="Times New Roman" w:cs="Times New Roman"/>
          <w:sz w:val="24"/>
          <w:szCs w:val="28"/>
        </w:rPr>
      </w:pPr>
      <w:r w:rsidRPr="00087C6A">
        <w:rPr>
          <w:rFonts w:ascii="Times New Roman" w:hAnsi="Times New Roman" w:cs="Times New Roman"/>
          <w:sz w:val="24"/>
          <w:szCs w:val="28"/>
        </w:rPr>
        <w:t>Artinya, terdakwa Ramang bisa sedikit tersenyum. Dia harus tetap menjalankan hukuman selama dua tahun sesuai dengan vonis hakim PN Tipikor Mataram jika jaksa tak melayangkan kasasi. ”Mungkin kalau sudah setengah dari tuntutan kita, kemungkinan kita tidak kasasi,”  jelasnya.</w:t>
      </w:r>
    </w:p>
    <w:p w:rsidR="00AE1EFC" w:rsidRPr="00087C6A" w:rsidRDefault="00087C6A" w:rsidP="00087C6A">
      <w:pPr>
        <w:spacing w:after="120" w:line="360" w:lineRule="auto"/>
        <w:jc w:val="both"/>
        <w:rPr>
          <w:rFonts w:ascii="Times New Roman" w:hAnsi="Times New Roman" w:cs="Times New Roman"/>
          <w:sz w:val="24"/>
          <w:szCs w:val="28"/>
          <w:lang w:val="id-ID"/>
        </w:rPr>
      </w:pPr>
      <w:r w:rsidRPr="00087C6A">
        <w:rPr>
          <w:rFonts w:ascii="Times New Roman" w:hAnsi="Times New Roman" w:cs="Times New Roman"/>
          <w:sz w:val="24"/>
          <w:szCs w:val="28"/>
        </w:rPr>
        <w:t>Sebelumnya, jaksa penuntut umum (JPU) menuntut Ramang dengan pidana penjara selama empat tahun. Namun, PN Tipikor Mataram memvonisnya selama dua tahun.</w:t>
      </w:r>
    </w:p>
    <w:p w:rsidR="00FD6CCF" w:rsidRDefault="00FD6CCF"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087C6A" w:rsidRPr="00087C6A" w:rsidRDefault="00673CBF" w:rsidP="00AE1EFC">
      <w:pPr>
        <w:pStyle w:val="ListParagraph"/>
        <w:numPr>
          <w:ilvl w:val="0"/>
          <w:numId w:val="1"/>
        </w:numPr>
        <w:spacing w:after="120" w:line="360" w:lineRule="auto"/>
        <w:ind w:left="360"/>
        <w:jc w:val="both"/>
        <w:rPr>
          <w:rFonts w:ascii="Times New Roman" w:hAnsi="Times New Roman" w:cs="Times New Roman"/>
          <w:sz w:val="24"/>
          <w:szCs w:val="28"/>
          <w:lang w:val="id-ID"/>
        </w:rPr>
      </w:pPr>
      <w:hyperlink r:id="rId7" w:history="1">
        <w:r w:rsidR="00087C6A" w:rsidRPr="00120F31">
          <w:rPr>
            <w:rStyle w:val="Hyperlink"/>
          </w:rPr>
          <w:t>https://lombokpost.jawapos.com/kriminal/20/06/2020/vonis-pungli-dana-desa-di-sekotong-jaksa-belum-tentukan-sikap/</w:t>
        </w:r>
      </w:hyperlink>
      <w:r>
        <w:rPr>
          <w:rStyle w:val="Hyperlink"/>
          <w:lang w:val="id-ID"/>
        </w:rPr>
        <w:t xml:space="preserve"> (20 Juni 2020)</w:t>
      </w:r>
      <w:bookmarkStart w:id="0" w:name="_GoBack"/>
      <w:bookmarkEnd w:id="0"/>
    </w:p>
    <w:p w:rsidR="00B5242E" w:rsidRDefault="00673CBF" w:rsidP="00087C6A">
      <w:pPr>
        <w:pStyle w:val="ListParagraph"/>
        <w:numPr>
          <w:ilvl w:val="0"/>
          <w:numId w:val="1"/>
        </w:numPr>
        <w:spacing w:after="120" w:line="360" w:lineRule="auto"/>
        <w:ind w:left="360"/>
        <w:jc w:val="both"/>
      </w:pPr>
      <w:hyperlink r:id="rId8" w:history="1">
        <w:r w:rsidR="00087C6A" w:rsidRPr="00120F31">
          <w:rPr>
            <w:rStyle w:val="Hyperlink"/>
          </w:rPr>
          <w:t>https://insidelombok.id/berita-utama/hakim-vonis-dua-tahun-mantan-pejabat-kecamatan-di-ntb-pungli-dana-desa/</w:t>
        </w:r>
      </w:hyperlink>
      <w:r>
        <w:rPr>
          <w:rStyle w:val="Hyperlink"/>
          <w:lang w:val="id-ID"/>
        </w:rPr>
        <w:t xml:space="preserve"> (9 April 2020)</w:t>
      </w:r>
    </w:p>
    <w:p w:rsidR="003D4299" w:rsidRDefault="003D4299" w:rsidP="00B5242E">
      <w:pPr>
        <w:spacing w:after="120" w:line="360" w:lineRule="auto"/>
        <w:jc w:val="both"/>
        <w:rPr>
          <w:rFonts w:ascii="Times New Roman" w:hAnsi="Times New Roman" w:cs="Times New Roman"/>
          <w:b/>
          <w:sz w:val="24"/>
          <w:szCs w:val="28"/>
        </w:rPr>
      </w:pPr>
    </w:p>
    <w:p w:rsidR="009D5020" w:rsidRDefault="009D5020" w:rsidP="00B5242E">
      <w:pPr>
        <w:spacing w:after="120" w:line="360" w:lineRule="auto"/>
        <w:jc w:val="both"/>
        <w:rPr>
          <w:rFonts w:ascii="Times New Roman" w:hAnsi="Times New Roman" w:cs="Times New Roman"/>
          <w:b/>
          <w:sz w:val="24"/>
          <w:szCs w:val="28"/>
        </w:rPr>
      </w:pPr>
    </w:p>
    <w:p w:rsidR="009D5020" w:rsidRDefault="009D5020"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lastRenderedPageBreak/>
        <w:t>Catatan:</w:t>
      </w:r>
    </w:p>
    <w:p w:rsidR="00EA7928" w:rsidRDefault="00EA7928" w:rsidP="00EA7928">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w:t>
      </w:r>
      <w:r w:rsidRPr="00EA7928">
        <w:rPr>
          <w:rFonts w:ascii="Times New Roman" w:hAnsi="Times New Roman" w:cs="Times New Roman"/>
          <w:sz w:val="24"/>
          <w:szCs w:val="28"/>
        </w:rPr>
        <w:t>Menteri</w:t>
      </w:r>
      <w:r>
        <w:rPr>
          <w:rFonts w:ascii="Times New Roman" w:hAnsi="Times New Roman" w:cs="Times New Roman"/>
          <w:sz w:val="24"/>
          <w:szCs w:val="24"/>
          <w:lang w:val="id-ID"/>
        </w:rPr>
        <w:t xml:space="preserve"> Keuangan Nomor 40/PMK.07/2020 tentang Perubahan atas Peraturan Menteri Keuangan Nomor 205/PMK.07/2019 tentang Pengelolaan Dana Desa:</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Transfer ke Daerah dan Dana Desa yang selanjutnya disingkat TKDD adalah bagian dari Belanja Negara yang dialokasikan dalam Anggaran Pendapatan dan Belanja Negara kepada Daerah dan Desa dalam rangka mendanai pelaksanaan urusan yang telah diserahkan kepada Daerah dan Desa (Pasal angka 1).</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Dana Desa (DD)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paling cepat bulan Juni sebesar 20% (dua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Tahap II paling cepat bulan Maret sebesar 40% (empat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EA7928" w:rsidRPr="006B1F72"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Laporan realisasi penyerapan dan capaian keluaran DD </w:t>
      </w:r>
      <w:r>
        <w:rPr>
          <w:rFonts w:ascii="Times New Roman" w:hAnsi="Times New Roman" w:cs="Times New Roman"/>
          <w:sz w:val="24"/>
          <w:szCs w:val="24"/>
          <w:lang w:val="id-ID"/>
        </w:rPr>
        <w:t>tahun anggaran sebelumnya</w:t>
      </w:r>
      <w:r w:rsidRPr="006B1F72">
        <w:rPr>
          <w:rFonts w:ascii="Times New Roman" w:hAnsi="Times New Roman" w:cs="Times New Roman"/>
          <w:sz w:val="24"/>
          <w:szCs w:val="24"/>
          <w:lang w:val="id-ID"/>
        </w:rPr>
        <w:t>.</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sampai dengan tahap II menunjukkan realisasi penyerapan paling sedikit sebesar 75% (tujuh puluh lima persen) dan capaian keluaran menunjukkan paling sedikit sebesar 50% (lima puluh persen);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 Desa tahun anggaran sebelumnya;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 (Pasal 24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 (Pasal 24 ayat (6)).</w:t>
      </w:r>
    </w:p>
    <w:p w:rsidR="00EA7928" w:rsidRPr="00A5687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Peraturan Menteri Desa, Pembangunan Daerah Tertinggal, dan Transmigrasi Nomor 11 Tahun 2019 tentang Prioritas Penggunaan Dana Desa Tahun 2020, pada Lampiran II menjelaskan:</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Desa yang akan menggunakan Dana Desa untuk membiayai Kegiatan Tanggap Darurat, melakukan perubahan RKP Desa Tahun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dimulai dengan melakukan perhitungan kebutuhan kebencanaan dari Dana Desa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Perhitungan ulang dilakukan dengan refokusing atau mengurangi jumlah kegiatan sebanyak-banyaknya 5 (lima) kegiatan, sehingga dipastikan dapat memenuhi kebutuhan anggaran untuk pemenuhan kebutuhan masyarakat di wilayah yang terkena dampak bencana alam</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Refokusing kegiatan Desa dibahas dan disepakati dalam musyawarah Desa</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Tahun 2020 disusun oleh Kepala Desa dibantu oleh Tim Penyusun RKP Desa dengan berdasarkan berita acara musyawarah Desa tentang refokusing kegiatan Desa</w:t>
      </w:r>
      <w:r>
        <w:rPr>
          <w:rFonts w:ascii="Times New Roman" w:hAnsi="Times New Roman" w:cs="Times New Roman"/>
          <w:sz w:val="24"/>
          <w:szCs w:val="24"/>
          <w:lang w:val="id-ID"/>
        </w:rPr>
        <w:t>;</w:t>
      </w:r>
    </w:p>
    <w:p w:rsidR="00EA7928" w:rsidRPr="00067A57"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Rancangan perubahan RKP Desa yang disusun oleh Kepala Desa dan tim penyusun perubahan RKP Desa dibahas dan disepakati oleh Kepala Desa, BPD dan unsur masyarakat Desa dalam Musyawarah Perencanaan Pembangunan Desa (MusrenbangDesa);</w:t>
      </w:r>
      <w:r>
        <w:rPr>
          <w:rFonts w:ascii="Times New Roman" w:hAnsi="Times New Roman" w:cs="Times New Roman"/>
          <w:sz w:val="24"/>
          <w:szCs w:val="24"/>
          <w:lang w:val="id-ID"/>
        </w:rPr>
        <w:t xml:space="preserve"> dan</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Hasil kesepakatan musrenbangdesa tentang Rancangan Perubahan RKP Desa menjadi dasar bagi Kepala Desa dan BPD untuk menetapkan Peraturan Desa tentang RKP Desa Tahun 2020 Perubahan</w:t>
      </w:r>
      <w:r>
        <w:rPr>
          <w:rFonts w:ascii="Times New Roman" w:hAnsi="Times New Roman" w:cs="Times New Roman"/>
          <w:sz w:val="24"/>
          <w:szCs w:val="24"/>
          <w:lang w:val="id-ID"/>
        </w:rPr>
        <w:t>.</w:t>
      </w:r>
    </w:p>
    <w:p w:rsidR="00EA7928" w:rsidRDefault="00EA7928" w:rsidP="00EA7928">
      <w:pPr>
        <w:pStyle w:val="ListParagraph"/>
        <w:spacing w:after="120" w:line="360" w:lineRule="auto"/>
        <w:ind w:left="1004"/>
        <w:contextualSpacing w:val="0"/>
        <w:jc w:val="both"/>
        <w:rPr>
          <w:rFonts w:ascii="Times New Roman" w:hAnsi="Times New Roman" w:cs="Times New Roman"/>
          <w:sz w:val="24"/>
          <w:szCs w:val="24"/>
          <w:lang w:val="id-ID"/>
        </w:rPr>
      </w:pP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rsidR="00EA792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lastRenderedPageBreak/>
        <w:t>Bagi Desa yang sudah menetapkan APBDesa Tahun 2020, namun dilakukan perubahan RKPDesa Tahun 2020 untuk kepentingan tanggap darurat bencana alam, wajib melakukan perubahan APBDesa tahun 2020</w:t>
      </w:r>
      <w:r>
        <w:rPr>
          <w:rFonts w:ascii="Times New Roman" w:hAnsi="Times New Roman" w:cs="Times New Roman"/>
          <w:sz w:val="24"/>
          <w:szCs w:val="24"/>
          <w:lang w:val="id-ID"/>
        </w:rPr>
        <w:t>;</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dan BPD melakukan perubahan APBDesa Tahun 2020 dengan berpedoman pada Peraturan Desa tentang RKP Desa 2020 Perubahan;</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mengajukan rancangan perubahan TPBDesa tahun 2020 untuk direview oleh Bupati/Wali Kota sesuai peraturan perundang-undangan tentang keuangan Desa; dan</w:t>
      </w:r>
    </w:p>
    <w:p w:rsidR="00EA7928" w:rsidRPr="008E700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Dalam hal rancangan perubahan APBDesa Tahun 2020 sudah disetujui Bupati/Wali Kota, maka Kepala Desa dan BPD menetapkan Peraturan Desa tentang APBDesa tahun 2020 Perubahan</w:t>
      </w:r>
      <w:r>
        <w:rPr>
          <w:rFonts w:ascii="Times New Roman" w:hAnsi="Times New Roman" w:cs="Times New Roman"/>
          <w:sz w:val="24"/>
          <w:szCs w:val="24"/>
          <w:lang w:val="id-ID"/>
        </w:rPr>
        <w:t>.</w:t>
      </w:r>
    </w:p>
    <w:p w:rsidR="00EA7928" w:rsidRPr="00EA7928" w:rsidRDefault="00EA7928" w:rsidP="00EA7928">
      <w:pPr>
        <w:spacing w:after="120" w:line="360" w:lineRule="auto"/>
        <w:jc w:val="both"/>
        <w:rPr>
          <w:rFonts w:ascii="Times New Roman" w:hAnsi="Times New Roman" w:cs="Times New Roman"/>
          <w:b/>
          <w:sz w:val="24"/>
          <w:szCs w:val="28"/>
          <w:lang w:val="id-ID"/>
        </w:rPr>
      </w:pPr>
    </w:p>
    <w:sectPr w:rsidR="00EA7928" w:rsidRPr="00EA7928"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3"/>
  </w:num>
  <w:num w:numId="5">
    <w:abstractNumId w:val="1"/>
  </w:num>
  <w:num w:numId="6">
    <w:abstractNumId w:val="9"/>
  </w:num>
  <w:num w:numId="7">
    <w:abstractNumId w:val="7"/>
  </w:num>
  <w:num w:numId="8">
    <w:abstractNumId w:val="8"/>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87C6A"/>
    <w:rsid w:val="00145538"/>
    <w:rsid w:val="003D4299"/>
    <w:rsid w:val="0045081C"/>
    <w:rsid w:val="004F5ECD"/>
    <w:rsid w:val="00673CBF"/>
    <w:rsid w:val="009D5020"/>
    <w:rsid w:val="00AE1EFC"/>
    <w:rsid w:val="00B5242E"/>
    <w:rsid w:val="00EA7928"/>
    <w:rsid w:val="00FD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4376"/>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lombok.id/berita-utama/hakim-vonis-dua-tahun-mantan-pejabat-kecamatan-di-ntb-pungli-dana-desa/" TargetMode="External"/><Relationship Id="rId3" Type="http://schemas.openxmlformats.org/officeDocument/2006/relationships/settings" Target="settings.xml"/><Relationship Id="rId7" Type="http://schemas.openxmlformats.org/officeDocument/2006/relationships/hyperlink" Target="https://lombokpost.jawapos.com/kriminal/20/06/2020/vonis-pungli-dana-desa-di-sekotong-jaksa-belum-tentukan-sik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Muhammad Eko Purnomo</cp:lastModifiedBy>
  <cp:revision>9</cp:revision>
  <dcterms:created xsi:type="dcterms:W3CDTF">2020-06-25T02:24:00Z</dcterms:created>
  <dcterms:modified xsi:type="dcterms:W3CDTF">2020-06-25T02:40:00Z</dcterms:modified>
</cp:coreProperties>
</file>