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30EC" w14:textId="77777777" w:rsidR="00A56878" w:rsidRDefault="001A325A" w:rsidP="004671E2">
      <w:pPr>
        <w:spacing w:after="0" w:line="360" w:lineRule="auto"/>
        <w:jc w:val="center"/>
        <w:rPr>
          <w:rFonts w:ascii="Times New Roman" w:hAnsi="Times New Roman" w:cs="Times New Roman"/>
          <w:b/>
          <w:bCs/>
          <w:noProof/>
          <w:sz w:val="24"/>
          <w:szCs w:val="24"/>
          <w:lang w:eastAsia="en-US"/>
        </w:rPr>
      </w:pPr>
      <w:r w:rsidRPr="001A325A">
        <w:rPr>
          <w:rFonts w:ascii="Times New Roman" w:hAnsi="Times New Roman" w:cs="Times New Roman"/>
          <w:b/>
          <w:sz w:val="28"/>
          <w:szCs w:val="28"/>
          <w:lang w:val="id-ID"/>
        </w:rPr>
        <w:t>Penerima BLT di Lingsar K</w:t>
      </w:r>
      <w:r w:rsidR="009926DF">
        <w:rPr>
          <w:rFonts w:ascii="Times New Roman" w:hAnsi="Times New Roman" w:cs="Times New Roman"/>
          <w:b/>
          <w:sz w:val="28"/>
          <w:szCs w:val="28"/>
          <w:lang w:val="id-ID"/>
        </w:rPr>
        <w:t xml:space="preserve">eluhkan Pemotongan Bantuan dari </w:t>
      </w:r>
      <w:r w:rsidRPr="001A325A">
        <w:rPr>
          <w:rFonts w:ascii="Times New Roman" w:hAnsi="Times New Roman" w:cs="Times New Roman"/>
          <w:b/>
          <w:sz w:val="28"/>
          <w:szCs w:val="28"/>
          <w:lang w:val="id-ID"/>
        </w:rPr>
        <w:t>Oknum Kadus</w:t>
      </w:r>
    </w:p>
    <w:p w14:paraId="6A5C9896" w14:textId="77777777" w:rsidR="009926DF" w:rsidRDefault="009926DF" w:rsidP="004671E2">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US"/>
        </w:rPr>
        <w:drawing>
          <wp:inline distT="0" distB="0" distL="0" distR="0" wp14:anchorId="40CDDA4D" wp14:editId="343CA5EC">
            <wp:extent cx="2790825" cy="2096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T Covid.jpg"/>
                    <pic:cNvPicPr/>
                  </pic:nvPicPr>
                  <pic:blipFill>
                    <a:blip r:embed="rId6">
                      <a:extLst>
                        <a:ext uri="{28A0092B-C50C-407E-A947-70E740481C1C}">
                          <a14:useLocalDpi xmlns:a14="http://schemas.microsoft.com/office/drawing/2010/main" val="0"/>
                        </a:ext>
                      </a:extLst>
                    </a:blip>
                    <a:stretch>
                      <a:fillRect/>
                    </a:stretch>
                  </pic:blipFill>
                  <pic:spPr>
                    <a:xfrm>
                      <a:off x="0" y="0"/>
                      <a:ext cx="2802622" cy="2105782"/>
                    </a:xfrm>
                    <a:prstGeom prst="rect">
                      <a:avLst/>
                    </a:prstGeom>
                  </pic:spPr>
                </pic:pic>
              </a:graphicData>
            </a:graphic>
          </wp:inline>
        </w:drawing>
      </w:r>
    </w:p>
    <w:p w14:paraId="7D569DF0" w14:textId="77777777" w:rsidR="00A56878" w:rsidRPr="00A56878" w:rsidRDefault="00663ADA" w:rsidP="004671E2">
      <w:pPr>
        <w:spacing w:after="0" w:line="360" w:lineRule="auto"/>
        <w:jc w:val="center"/>
        <w:rPr>
          <w:rFonts w:ascii="Times New Roman" w:hAnsi="Times New Roman" w:cs="Times New Roman"/>
          <w:bCs/>
          <w:i/>
          <w:sz w:val="22"/>
          <w:szCs w:val="22"/>
          <w:lang w:val="id-ID"/>
        </w:rPr>
      </w:pPr>
      <w:r>
        <w:rPr>
          <w:rFonts w:ascii="Times New Roman" w:hAnsi="Times New Roman" w:cs="Times New Roman"/>
          <w:bCs/>
          <w:i/>
          <w:sz w:val="22"/>
          <w:szCs w:val="22"/>
          <w:lang w:val="id-ID"/>
        </w:rPr>
        <w:t>Indovizka</w:t>
      </w:r>
    </w:p>
    <w:p w14:paraId="7EF5EC28" w14:textId="77777777" w:rsidR="009926DF"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B71B0FE" w14:textId="77777777" w:rsidR="00437FDD" w:rsidRDefault="001A325A" w:rsidP="001A325A">
      <w:pPr>
        <w:autoSpaceDE w:val="0"/>
        <w:autoSpaceDN w:val="0"/>
        <w:adjustRightInd w:val="0"/>
        <w:spacing w:after="200" w:line="276" w:lineRule="auto"/>
        <w:jc w:val="both"/>
        <w:rPr>
          <w:rFonts w:ascii="Times New Roman" w:hAnsi="Times New Roman" w:cs="Times New Roman"/>
          <w:sz w:val="24"/>
          <w:szCs w:val="24"/>
          <w:lang w:val="id-ID"/>
        </w:rPr>
      </w:pPr>
      <w:r w:rsidRPr="001A325A">
        <w:rPr>
          <w:rFonts w:ascii="Times New Roman" w:hAnsi="Times New Roman" w:cs="Times New Roman"/>
          <w:b/>
          <w:sz w:val="24"/>
          <w:szCs w:val="24"/>
          <w:lang w:val="id-ID"/>
        </w:rPr>
        <w:t>Lombok Barat (Inside Lombok)</w:t>
      </w:r>
      <w:r w:rsidRPr="001A325A">
        <w:rPr>
          <w:rFonts w:ascii="Times New Roman" w:hAnsi="Times New Roman" w:cs="Times New Roman"/>
          <w:sz w:val="24"/>
          <w:szCs w:val="24"/>
          <w:lang w:val="id-ID"/>
        </w:rPr>
        <w:t xml:space="preserve"> – Warga Dusun Lingsar Keling Kecamatan Lingsar Lombok Barat mengeluhkan adanya pemotongan Bantuan Langsung Tunai (BLT) Dana Desa yang diperuntukkan bagi warga terdampak Co</w:t>
      </w:r>
      <w:r w:rsidR="00D929D2">
        <w:rPr>
          <w:rFonts w:ascii="Times New Roman" w:hAnsi="Times New Roman" w:cs="Times New Roman"/>
          <w:sz w:val="24"/>
          <w:szCs w:val="24"/>
          <w:lang w:val="id-ID"/>
        </w:rPr>
        <w:t xml:space="preserve">vid-19 oleh oknum kepala dusun. </w:t>
      </w:r>
      <w:r w:rsidRPr="001A325A">
        <w:rPr>
          <w:rFonts w:ascii="Times New Roman" w:hAnsi="Times New Roman" w:cs="Times New Roman"/>
          <w:sz w:val="24"/>
          <w:szCs w:val="24"/>
          <w:lang w:val="id-ID"/>
        </w:rPr>
        <w:t>Menurut keterangan seorang warga yang mengalami pemotongan bantuan, Sadri, oknum Kadus tersebut meminta sebagian uang yang telah diberikan dengan alasan akan membagikannya kepada warga yang tidak mendapatkan.</w:t>
      </w:r>
    </w:p>
    <w:p w14:paraId="139FE0DC" w14:textId="77777777" w:rsidR="00D929D2" w:rsidRPr="00D929D2" w:rsidRDefault="00D929D2" w:rsidP="00D929D2">
      <w:pPr>
        <w:autoSpaceDE w:val="0"/>
        <w:autoSpaceDN w:val="0"/>
        <w:adjustRightInd w:val="0"/>
        <w:spacing w:after="200" w:line="276" w:lineRule="auto"/>
        <w:jc w:val="both"/>
        <w:rPr>
          <w:rFonts w:ascii="Times New Roman" w:hAnsi="Times New Roman" w:cs="Times New Roman"/>
          <w:sz w:val="24"/>
          <w:szCs w:val="24"/>
          <w:lang w:val="id-ID"/>
        </w:rPr>
      </w:pPr>
      <w:r w:rsidRPr="00D929D2">
        <w:rPr>
          <w:rFonts w:ascii="Times New Roman" w:hAnsi="Times New Roman" w:cs="Times New Roman"/>
          <w:sz w:val="24"/>
          <w:szCs w:val="24"/>
          <w:lang w:val="id-ID"/>
        </w:rPr>
        <w:t>“Alasannya mengambil mau diberikan yang tidak dapat,” Kata Sadri, Sabtu (4/7/2020).</w:t>
      </w:r>
    </w:p>
    <w:p w14:paraId="77821091" w14:textId="77777777" w:rsidR="00D929D2" w:rsidRPr="00D929D2" w:rsidRDefault="00D929D2" w:rsidP="00D929D2">
      <w:pPr>
        <w:autoSpaceDE w:val="0"/>
        <w:autoSpaceDN w:val="0"/>
        <w:adjustRightInd w:val="0"/>
        <w:spacing w:after="200" w:line="276" w:lineRule="auto"/>
        <w:jc w:val="both"/>
        <w:rPr>
          <w:rFonts w:ascii="Times New Roman" w:hAnsi="Times New Roman" w:cs="Times New Roman"/>
          <w:sz w:val="24"/>
          <w:szCs w:val="24"/>
          <w:lang w:val="id-ID"/>
        </w:rPr>
      </w:pPr>
      <w:r w:rsidRPr="00D929D2">
        <w:rPr>
          <w:rFonts w:ascii="Times New Roman" w:hAnsi="Times New Roman" w:cs="Times New Roman"/>
          <w:sz w:val="24"/>
          <w:szCs w:val="24"/>
          <w:lang w:val="id-ID"/>
        </w:rPr>
        <w:t>Besaran uang tunai yang diterima masing-masing Kepala Keluarga terdampak Covid-19 pada penyaluran BLT Dana Desa ini adalah 600 Ribu Rupiah.</w:t>
      </w:r>
      <w:r>
        <w:rPr>
          <w:rFonts w:ascii="Times New Roman" w:hAnsi="Times New Roman" w:cs="Times New Roman"/>
          <w:sz w:val="24"/>
          <w:szCs w:val="24"/>
          <w:lang w:val="id-ID"/>
        </w:rPr>
        <w:t xml:space="preserve"> </w:t>
      </w:r>
      <w:r w:rsidRPr="00D929D2">
        <w:rPr>
          <w:rFonts w:ascii="Times New Roman" w:hAnsi="Times New Roman" w:cs="Times New Roman"/>
          <w:sz w:val="24"/>
          <w:szCs w:val="24"/>
          <w:lang w:val="id-ID"/>
        </w:rPr>
        <w:t>“Saya ambil uangnya di kantor desa, waktu keluar dari kantor desa langsung diikuti sama pak Kadus, dia stop saya, dia minta 300 tapi saya kasih 200,” lanjutnya.</w:t>
      </w:r>
    </w:p>
    <w:p w14:paraId="53C270CD" w14:textId="77777777" w:rsidR="00D929D2" w:rsidRPr="00D929D2" w:rsidRDefault="00D929D2" w:rsidP="00D929D2">
      <w:pPr>
        <w:autoSpaceDE w:val="0"/>
        <w:autoSpaceDN w:val="0"/>
        <w:adjustRightInd w:val="0"/>
        <w:spacing w:after="200" w:line="276" w:lineRule="auto"/>
        <w:jc w:val="both"/>
        <w:rPr>
          <w:rFonts w:ascii="Times New Roman" w:hAnsi="Times New Roman" w:cs="Times New Roman"/>
          <w:sz w:val="24"/>
          <w:szCs w:val="24"/>
          <w:lang w:val="id-ID"/>
        </w:rPr>
      </w:pPr>
      <w:r w:rsidRPr="00D929D2">
        <w:rPr>
          <w:rFonts w:ascii="Times New Roman" w:hAnsi="Times New Roman" w:cs="Times New Roman"/>
          <w:sz w:val="24"/>
          <w:szCs w:val="24"/>
          <w:lang w:val="id-ID"/>
        </w:rPr>
        <w:t>Terkait hal ini, warga dari sejumlah RT di Dusun Lingsar Keling kemudian mengambil langkah musyawarah dan melaporkan kejadian ini ke Ombudsman RI Perwakilan Nusa Tenggara Barat.</w:t>
      </w:r>
      <w:r>
        <w:rPr>
          <w:rFonts w:ascii="Times New Roman" w:hAnsi="Times New Roman" w:cs="Times New Roman"/>
          <w:sz w:val="24"/>
          <w:szCs w:val="24"/>
          <w:lang w:val="id-ID"/>
        </w:rPr>
        <w:t xml:space="preserve"> </w:t>
      </w:r>
      <w:r w:rsidRPr="00D929D2">
        <w:rPr>
          <w:rFonts w:ascii="Times New Roman" w:hAnsi="Times New Roman" w:cs="Times New Roman"/>
          <w:sz w:val="24"/>
          <w:szCs w:val="24"/>
          <w:lang w:val="id-ID"/>
        </w:rPr>
        <w:t>Kuasa Hukum Pelapor, Herdianto mengatakan, dalam musyawarah tersebut masyarakat meminta klarifikasi dari pihak dusun dan mengkonfirmasi lebih lanjut kepada oknum Kadus yang bersangkutan.</w:t>
      </w:r>
    </w:p>
    <w:p w14:paraId="656E587D" w14:textId="77777777" w:rsidR="00D929D2" w:rsidRPr="00D929D2" w:rsidRDefault="00D929D2" w:rsidP="00D929D2">
      <w:pPr>
        <w:autoSpaceDE w:val="0"/>
        <w:autoSpaceDN w:val="0"/>
        <w:adjustRightInd w:val="0"/>
        <w:spacing w:after="200" w:line="276" w:lineRule="auto"/>
        <w:jc w:val="both"/>
        <w:rPr>
          <w:rFonts w:ascii="Times New Roman" w:hAnsi="Times New Roman" w:cs="Times New Roman"/>
          <w:sz w:val="24"/>
          <w:szCs w:val="24"/>
          <w:lang w:val="id-ID"/>
        </w:rPr>
      </w:pPr>
      <w:r w:rsidRPr="00D929D2">
        <w:rPr>
          <w:rFonts w:ascii="Times New Roman" w:hAnsi="Times New Roman" w:cs="Times New Roman"/>
          <w:sz w:val="24"/>
          <w:szCs w:val="24"/>
          <w:lang w:val="id-ID"/>
        </w:rPr>
        <w:t xml:space="preserve">“Kepala dusun mengakui adanya pemotongan dengan bahasa meminta </w:t>
      </w:r>
      <w:r>
        <w:rPr>
          <w:rFonts w:ascii="Times New Roman" w:hAnsi="Times New Roman" w:cs="Times New Roman"/>
          <w:sz w:val="24"/>
          <w:szCs w:val="24"/>
          <w:lang w:val="id-ID"/>
        </w:rPr>
        <w:t xml:space="preserve">uang rokok,” jelas Herdianto. </w:t>
      </w:r>
      <w:r w:rsidRPr="00D929D2">
        <w:rPr>
          <w:rFonts w:ascii="Times New Roman" w:hAnsi="Times New Roman" w:cs="Times New Roman"/>
          <w:sz w:val="24"/>
          <w:szCs w:val="24"/>
          <w:lang w:val="id-ID"/>
        </w:rPr>
        <w:t>Lebih lanjut ia menjelaskan bahwa oknum Kepala Dusun itu sebelumnya ingin kasus ini tidak diproses dengan menyanggupi pengembalian uang yang sudah ditarik dari warga. “Kami tunggu prosesnya dua-tiga hari, tidak ada pengembalian. Jadi kami berinisiatif untuk melaporkan ke Ombudsman,” kata Herdianto.</w:t>
      </w:r>
    </w:p>
    <w:p w14:paraId="5545A274" w14:textId="77777777" w:rsidR="00D929D2" w:rsidRDefault="00D929D2" w:rsidP="00D929D2">
      <w:pPr>
        <w:autoSpaceDE w:val="0"/>
        <w:autoSpaceDN w:val="0"/>
        <w:adjustRightInd w:val="0"/>
        <w:spacing w:after="200" w:line="276" w:lineRule="auto"/>
        <w:jc w:val="both"/>
        <w:rPr>
          <w:rFonts w:ascii="Times New Roman" w:hAnsi="Times New Roman" w:cs="Times New Roman"/>
          <w:sz w:val="24"/>
          <w:szCs w:val="24"/>
          <w:lang w:val="id-ID"/>
        </w:rPr>
      </w:pPr>
      <w:r w:rsidRPr="00D929D2">
        <w:rPr>
          <w:rFonts w:ascii="Times New Roman" w:hAnsi="Times New Roman" w:cs="Times New Roman"/>
          <w:sz w:val="24"/>
          <w:szCs w:val="24"/>
          <w:lang w:val="id-ID"/>
        </w:rPr>
        <w:t xml:space="preserve">Warga yang merasa kecewa dengan tindakan pemotongan BLT meminta oknum Kadus tersebut mengundurkan diri apabila proses hukum tidak berlanjut, atau sebaliknya, </w:t>
      </w:r>
      <w:r w:rsidRPr="00D929D2">
        <w:rPr>
          <w:rFonts w:ascii="Times New Roman" w:hAnsi="Times New Roman" w:cs="Times New Roman"/>
          <w:sz w:val="24"/>
          <w:szCs w:val="24"/>
          <w:lang w:val="id-ID"/>
        </w:rPr>
        <w:lastRenderedPageBreak/>
        <w:t>apabila Kadus tidak mengundurkan diri, masyarakat akan tet</w:t>
      </w:r>
      <w:r>
        <w:rPr>
          <w:rFonts w:ascii="Times New Roman" w:hAnsi="Times New Roman" w:cs="Times New Roman"/>
          <w:sz w:val="24"/>
          <w:szCs w:val="24"/>
          <w:lang w:val="id-ID"/>
        </w:rPr>
        <w:t xml:space="preserve">ap melanjutkan proses hukumnya. </w:t>
      </w:r>
      <w:r w:rsidRPr="00D929D2">
        <w:rPr>
          <w:rFonts w:ascii="Times New Roman" w:hAnsi="Times New Roman" w:cs="Times New Roman"/>
          <w:sz w:val="24"/>
          <w:szCs w:val="24"/>
          <w:lang w:val="id-ID"/>
        </w:rPr>
        <w:t>Herdianto menduga pemotongan ini tidak hanya dilakukan di Dusun Lingsar Keling, tetapi juga di dusun-dusun lainnya di Desa Lingsar Lombok Barat.</w:t>
      </w:r>
    </w:p>
    <w:p w14:paraId="6B761D52" w14:textId="77777777" w:rsidR="00E87F73" w:rsidRDefault="00E87F73" w:rsidP="004671E2">
      <w:pPr>
        <w:spacing w:after="0" w:line="360" w:lineRule="auto"/>
        <w:jc w:val="both"/>
        <w:rPr>
          <w:rFonts w:ascii="Times New Roman" w:hAnsi="Times New Roman" w:cs="Times New Roman"/>
          <w:b/>
          <w:sz w:val="24"/>
          <w:szCs w:val="24"/>
          <w:lang w:val="id-ID"/>
        </w:rPr>
      </w:pPr>
    </w:p>
    <w:p w14:paraId="2D4FC32F" w14:textId="77777777"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14:paraId="67FFA73B" w14:textId="6C69C0FB" w:rsidR="008E7008" w:rsidRDefault="00DD3D5A" w:rsidP="00DD3D5A">
      <w:pPr>
        <w:pStyle w:val="ListParagraph"/>
        <w:numPr>
          <w:ilvl w:val="0"/>
          <w:numId w:val="16"/>
        </w:numPr>
        <w:spacing w:after="0" w:line="360" w:lineRule="auto"/>
        <w:jc w:val="both"/>
        <w:rPr>
          <w:rFonts w:ascii="Times New Roman" w:hAnsi="Times New Roman" w:cs="Times New Roman"/>
          <w:sz w:val="24"/>
          <w:szCs w:val="24"/>
          <w:lang w:val="id-ID"/>
        </w:rPr>
      </w:pPr>
      <w:hyperlink r:id="rId7" w:history="1">
        <w:r w:rsidRPr="006246B7">
          <w:rPr>
            <w:rStyle w:val="Hyperlink"/>
            <w:rFonts w:ascii="Times New Roman" w:hAnsi="Times New Roman" w:cs="Times New Roman"/>
            <w:sz w:val="24"/>
            <w:szCs w:val="24"/>
          </w:rPr>
          <w:t>https://insidelombok.id/berita-utama/penerima-blt-di-lingsar-keluhkan-pemotongan-bantuan-dari-oknum-kadus/</w:t>
        </w:r>
      </w:hyperlink>
      <w:r w:rsidR="009A5271" w:rsidRPr="00DD3D5A">
        <w:rPr>
          <w:rFonts w:ascii="Times New Roman" w:hAnsi="Times New Roman" w:cs="Times New Roman"/>
          <w:sz w:val="24"/>
          <w:szCs w:val="24"/>
          <w:lang w:val="id-ID"/>
        </w:rPr>
        <w:t xml:space="preserve"> - tanggal 5 Juli 2020</w:t>
      </w:r>
    </w:p>
    <w:p w14:paraId="3BC9E00F" w14:textId="322A257D" w:rsidR="00DD3D5A" w:rsidRDefault="00DD3D5A" w:rsidP="00DD3D5A">
      <w:pPr>
        <w:pStyle w:val="ListParagraph"/>
        <w:numPr>
          <w:ilvl w:val="0"/>
          <w:numId w:val="16"/>
        </w:numPr>
        <w:spacing w:after="0" w:line="360" w:lineRule="auto"/>
        <w:jc w:val="both"/>
        <w:rPr>
          <w:rFonts w:ascii="Times New Roman" w:hAnsi="Times New Roman" w:cs="Times New Roman"/>
          <w:sz w:val="24"/>
          <w:szCs w:val="24"/>
          <w:lang w:val="id-ID"/>
        </w:rPr>
      </w:pPr>
      <w:hyperlink r:id="rId8" w:history="1">
        <w:r w:rsidRPr="00DD3D5A">
          <w:rPr>
            <w:rStyle w:val="Hyperlink"/>
            <w:rFonts w:ascii="Times New Roman" w:hAnsi="Times New Roman" w:cs="Times New Roman"/>
            <w:sz w:val="24"/>
            <w:szCs w:val="24"/>
          </w:rPr>
          <w:t>https://lombokpost.jawapos.com/</w:t>
        </w:r>
        <w:r w:rsidRPr="006246B7">
          <w:rPr>
            <w:rStyle w:val="Hyperlink"/>
            <w:rFonts w:ascii="Times New Roman" w:hAnsi="Times New Roman" w:cs="Times New Roman"/>
            <w:sz w:val="24"/>
            <w:szCs w:val="24"/>
          </w:rPr>
          <w:t>-</w:t>
        </w:r>
        <w:r w:rsidRPr="00DD3D5A">
          <w:rPr>
            <w:rStyle w:val="Hyperlink"/>
            <w:rFonts w:ascii="Times New Roman" w:hAnsi="Times New Roman" w:cs="Times New Roman"/>
            <w:sz w:val="24"/>
            <w:szCs w:val="24"/>
          </w:rPr>
          <w:t xml:space="preserve">Potong Dana BLT, Kadus di </w:t>
        </w:r>
        <w:proofErr w:type="spellStart"/>
        <w:r w:rsidRPr="00DD3D5A">
          <w:rPr>
            <w:rStyle w:val="Hyperlink"/>
            <w:rFonts w:ascii="Times New Roman" w:hAnsi="Times New Roman" w:cs="Times New Roman"/>
            <w:sz w:val="24"/>
            <w:szCs w:val="24"/>
          </w:rPr>
          <w:t>Lingsar</w:t>
        </w:r>
        <w:proofErr w:type="spellEnd"/>
        <w:r w:rsidRPr="00DD3D5A">
          <w:rPr>
            <w:rStyle w:val="Hyperlink"/>
            <w:rFonts w:ascii="Times New Roman" w:hAnsi="Times New Roman" w:cs="Times New Roman"/>
            <w:sz w:val="24"/>
            <w:szCs w:val="24"/>
          </w:rPr>
          <w:t xml:space="preserve"> Lobar </w:t>
        </w:r>
        <w:proofErr w:type="spellStart"/>
        <w:r w:rsidRPr="00DD3D5A">
          <w:rPr>
            <w:rStyle w:val="Hyperlink"/>
            <w:rFonts w:ascii="Times New Roman" w:hAnsi="Times New Roman" w:cs="Times New Roman"/>
            <w:sz w:val="24"/>
            <w:szCs w:val="24"/>
          </w:rPr>
          <w:t>Dapat</w:t>
        </w:r>
        <w:proofErr w:type="spellEnd"/>
        <w:r w:rsidRPr="00DD3D5A">
          <w:rPr>
            <w:rStyle w:val="Hyperlink"/>
            <w:rFonts w:ascii="Times New Roman" w:hAnsi="Times New Roman" w:cs="Times New Roman"/>
            <w:sz w:val="24"/>
            <w:szCs w:val="24"/>
          </w:rPr>
          <w:t xml:space="preserve"> Surat </w:t>
        </w:r>
        <w:proofErr w:type="spellStart"/>
        <w:r w:rsidRPr="00DD3D5A">
          <w:rPr>
            <w:rStyle w:val="Hyperlink"/>
            <w:rFonts w:ascii="Times New Roman" w:hAnsi="Times New Roman" w:cs="Times New Roman"/>
            <w:sz w:val="24"/>
            <w:szCs w:val="24"/>
          </w:rPr>
          <w:t>Peringatan</w:t>
        </w:r>
        <w:proofErr w:type="spellEnd"/>
        <w:r w:rsidRPr="006246B7">
          <w:rPr>
            <w:rStyle w:val="Hyperlink"/>
            <w:rFonts w:ascii="Times New Roman" w:hAnsi="Times New Roman" w:cs="Times New Roman"/>
            <w:sz w:val="24"/>
            <w:szCs w:val="24"/>
          </w:rPr>
          <w:t>/</w:t>
        </w:r>
      </w:hyperlink>
      <w:r w:rsidRPr="00DD3D5A">
        <w:rPr>
          <w:rFonts w:ascii="Times New Roman" w:hAnsi="Times New Roman" w:cs="Times New Roman"/>
          <w:sz w:val="24"/>
          <w:szCs w:val="24"/>
          <w:lang w:val="id-ID"/>
        </w:rPr>
        <w:t xml:space="preserve"> - tanggal </w:t>
      </w:r>
      <w:r>
        <w:rPr>
          <w:rFonts w:ascii="Times New Roman" w:hAnsi="Times New Roman" w:cs="Times New Roman"/>
          <w:sz w:val="24"/>
          <w:szCs w:val="24"/>
        </w:rPr>
        <w:t>7</w:t>
      </w:r>
      <w:r w:rsidRPr="00DD3D5A">
        <w:rPr>
          <w:rFonts w:ascii="Times New Roman" w:hAnsi="Times New Roman" w:cs="Times New Roman"/>
          <w:sz w:val="24"/>
          <w:szCs w:val="24"/>
          <w:lang w:val="id-ID"/>
        </w:rPr>
        <w:t xml:space="preserve"> Juli 2020</w:t>
      </w:r>
    </w:p>
    <w:p w14:paraId="301D5DFD" w14:textId="77777777" w:rsidR="00DD3D5A" w:rsidRPr="00DD3D5A" w:rsidRDefault="00DD3D5A" w:rsidP="00DD3D5A">
      <w:pPr>
        <w:pStyle w:val="ListParagraph"/>
        <w:numPr>
          <w:ilvl w:val="0"/>
          <w:numId w:val="16"/>
        </w:numPr>
        <w:spacing w:after="0" w:line="360" w:lineRule="auto"/>
        <w:jc w:val="both"/>
        <w:rPr>
          <w:rFonts w:ascii="Times New Roman" w:hAnsi="Times New Roman" w:cs="Times New Roman"/>
          <w:sz w:val="24"/>
          <w:szCs w:val="24"/>
          <w:lang w:val="id-ID"/>
        </w:rPr>
      </w:pPr>
    </w:p>
    <w:p w14:paraId="55BF755F" w14:textId="77777777" w:rsidR="00301171" w:rsidRDefault="00301171" w:rsidP="008E7008">
      <w:pPr>
        <w:spacing w:after="0" w:line="360" w:lineRule="auto"/>
        <w:jc w:val="both"/>
        <w:rPr>
          <w:rFonts w:ascii="Times New Roman" w:hAnsi="Times New Roman" w:cs="Times New Roman"/>
          <w:sz w:val="24"/>
          <w:szCs w:val="24"/>
        </w:rPr>
      </w:pPr>
    </w:p>
    <w:p w14:paraId="2D06AFC7" w14:textId="77777777"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14:paraId="74923F34" w14:textId="77777777" w:rsidR="008E7008" w:rsidRDefault="008C7ED6" w:rsidP="00142059">
      <w:pPr>
        <w:spacing w:after="120" w:line="2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w:t>
      </w:r>
      <w:r w:rsidR="00142059">
        <w:rPr>
          <w:rFonts w:ascii="Times New Roman" w:hAnsi="Times New Roman" w:cs="Times New Roman"/>
          <w:sz w:val="24"/>
          <w:szCs w:val="24"/>
          <w:lang w:val="id-ID"/>
        </w:rPr>
        <w:t>Keuangan Nomor 5</w:t>
      </w:r>
      <w:r>
        <w:rPr>
          <w:rFonts w:ascii="Times New Roman" w:hAnsi="Times New Roman" w:cs="Times New Roman"/>
          <w:sz w:val="24"/>
          <w:szCs w:val="24"/>
          <w:lang w:val="id-ID"/>
        </w:rPr>
        <w:t xml:space="preserve">0/PMK.07/2020 tentang Perubahan </w:t>
      </w:r>
      <w:r w:rsidR="00142059">
        <w:rPr>
          <w:rFonts w:ascii="Times New Roman" w:hAnsi="Times New Roman" w:cs="Times New Roman"/>
          <w:sz w:val="24"/>
          <w:szCs w:val="24"/>
          <w:lang w:val="id-ID"/>
        </w:rPr>
        <w:t>Kedua A</w:t>
      </w:r>
      <w:r>
        <w:rPr>
          <w:rFonts w:ascii="Times New Roman" w:hAnsi="Times New Roman" w:cs="Times New Roman"/>
          <w:sz w:val="24"/>
          <w:szCs w:val="24"/>
          <w:lang w:val="id-ID"/>
        </w:rPr>
        <w:t>tas Peraturan Menteri Keuangan Nomor 205/PMK.07/2019 tentang Pengelolaan Dana Desa:</w:t>
      </w:r>
    </w:p>
    <w:p w14:paraId="298FACE5" w14:textId="77777777" w:rsidR="008E7008" w:rsidRDefault="00027D2B"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w:t>
      </w:r>
      <w:r w:rsidR="00317464">
        <w:rPr>
          <w:rFonts w:ascii="Times New Roman" w:hAnsi="Times New Roman" w:cs="Times New Roman"/>
          <w:sz w:val="24"/>
          <w:szCs w:val="24"/>
          <w:lang w:val="id-ID"/>
        </w:rPr>
        <w:t>bagian dari Belanja Negara yang dialokasikan dalam Anggaran Pendapatan dan Belanja Negara kepada Daerah dan Desa dalam rangka mendanai pelaksanaan urusan yang telah diserahkan kepada Daerah dan Desa (Pasal angka 1).</w:t>
      </w:r>
    </w:p>
    <w:p w14:paraId="07E8A28A" w14:textId="77777777" w:rsidR="00317464" w:rsidRDefault="00317464"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14:paraId="02B03757" w14:textId="77777777" w:rsidR="008C7ED6" w:rsidRDefault="008C7ED6"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14:paraId="3D47C8B7" w14:textId="77777777" w:rsidR="00317464" w:rsidRDefault="007607B6"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14:paraId="05EBF299" w14:textId="77777777" w:rsidR="007607B6" w:rsidRDefault="007607B6"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14:paraId="47C68118" w14:textId="77777777" w:rsidR="007607B6" w:rsidRDefault="007607B6"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14:paraId="25534153" w14:textId="77777777" w:rsidR="007607B6"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14:paraId="05FDCB32" w14:textId="77777777"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14:paraId="7468FFEC" w14:textId="77777777"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14:paraId="7B2EFADD" w14:textId="77777777"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14:paraId="545AF37C" w14:textId="77777777" w:rsidR="00012EB1" w:rsidRDefault="00012EB1" w:rsidP="00142059">
      <w:pPr>
        <w:pStyle w:val="ListParagraph"/>
        <w:numPr>
          <w:ilvl w:val="0"/>
          <w:numId w:val="4"/>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w:t>
      </w:r>
      <w:r w:rsidR="008C7ED6">
        <w:rPr>
          <w:rFonts w:ascii="Times New Roman" w:hAnsi="Times New Roman" w:cs="Times New Roman"/>
          <w:sz w:val="24"/>
          <w:szCs w:val="24"/>
          <w:lang w:val="id-ID"/>
        </w:rPr>
        <w:t>ahap III paling cepat bulan Juni</w:t>
      </w:r>
      <w:r>
        <w:rPr>
          <w:rFonts w:ascii="Times New Roman" w:hAnsi="Times New Roman" w:cs="Times New Roman"/>
          <w:sz w:val="24"/>
          <w:szCs w:val="24"/>
          <w:lang w:val="id-ID"/>
        </w:rPr>
        <w:t xml:space="preserve"> sebesar 20% (dua puluh persen).</w:t>
      </w:r>
    </w:p>
    <w:p w14:paraId="403BB7FC" w14:textId="77777777"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14:paraId="4E0E1384" w14:textId="77777777" w:rsidR="00012EB1" w:rsidRDefault="00012EB1" w:rsidP="00142059">
      <w:pPr>
        <w:pStyle w:val="ListParagraph"/>
        <w:numPr>
          <w:ilvl w:val="0"/>
          <w:numId w:val="5"/>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14:paraId="0D0F880C" w14:textId="77777777" w:rsidR="00012EB1" w:rsidRDefault="00012EB1" w:rsidP="00142059">
      <w:pPr>
        <w:pStyle w:val="ListParagraph"/>
        <w:numPr>
          <w:ilvl w:val="0"/>
          <w:numId w:val="5"/>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II paling cepat bulan </w:t>
      </w:r>
      <w:r w:rsidR="008C7ED6">
        <w:rPr>
          <w:rFonts w:ascii="Times New Roman" w:hAnsi="Times New Roman" w:cs="Times New Roman"/>
          <w:sz w:val="24"/>
          <w:szCs w:val="24"/>
          <w:lang w:val="id-ID"/>
        </w:rPr>
        <w:t>Maret</w:t>
      </w:r>
      <w:r>
        <w:rPr>
          <w:rFonts w:ascii="Times New Roman" w:hAnsi="Times New Roman" w:cs="Times New Roman"/>
          <w:sz w:val="24"/>
          <w:szCs w:val="24"/>
          <w:lang w:val="id-ID"/>
        </w:rPr>
        <w:t xml:space="preserve"> sebesar 40% (empat puluh persen).</w:t>
      </w:r>
    </w:p>
    <w:p w14:paraId="27E2E6B7" w14:textId="77777777" w:rsidR="00012EB1" w:rsidRDefault="00012EB1"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14:paraId="46B9B05B" w14:textId="77777777" w:rsidR="00012EB1" w:rsidRDefault="00012EB1"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14:paraId="5CAF5D89" w14:textId="77777777"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14:paraId="4EA43FBD" w14:textId="77777777"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14:paraId="0E2E0FE1" w14:textId="77777777" w:rsidR="00012EB1" w:rsidRDefault="00012EB1" w:rsidP="00142059">
      <w:pPr>
        <w:pStyle w:val="ListParagraph"/>
        <w:numPr>
          <w:ilvl w:val="0"/>
          <w:numId w:val="7"/>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14:paraId="1823D287" w14:textId="77777777" w:rsidR="00CF1B05" w:rsidRPr="006B1F72" w:rsidRDefault="006B1F72"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w:t>
      </w:r>
      <w:r w:rsidR="00CF1B05" w:rsidRPr="006B1F72">
        <w:rPr>
          <w:rFonts w:ascii="Times New Roman" w:hAnsi="Times New Roman" w:cs="Times New Roman"/>
          <w:sz w:val="24"/>
          <w:szCs w:val="24"/>
          <w:lang w:val="id-ID"/>
        </w:rPr>
        <w:t xml:space="preserve">Laporan realisasi penyerapan dan capaian keluaran DD </w:t>
      </w:r>
      <w:r>
        <w:rPr>
          <w:rFonts w:ascii="Times New Roman" w:hAnsi="Times New Roman" w:cs="Times New Roman"/>
          <w:sz w:val="24"/>
          <w:szCs w:val="24"/>
          <w:lang w:val="id-ID"/>
        </w:rPr>
        <w:t>tahun anggaran sebelumnya</w:t>
      </w:r>
      <w:r w:rsidR="00CF1B05" w:rsidRPr="006B1F72">
        <w:rPr>
          <w:rFonts w:ascii="Times New Roman" w:hAnsi="Times New Roman" w:cs="Times New Roman"/>
          <w:sz w:val="24"/>
          <w:szCs w:val="24"/>
          <w:lang w:val="id-ID"/>
        </w:rPr>
        <w:t>.</w:t>
      </w:r>
    </w:p>
    <w:p w14:paraId="315049D4" w14:textId="77777777" w:rsidR="00012EB1" w:rsidRDefault="00012EB1" w:rsidP="00142059">
      <w:pPr>
        <w:pStyle w:val="ListParagraph"/>
        <w:numPr>
          <w:ilvl w:val="0"/>
          <w:numId w:val="6"/>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14:paraId="702D1A1D" w14:textId="77777777" w:rsidR="00CF1B05" w:rsidRDefault="00CF1B05"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w:t>
      </w:r>
      <w:r w:rsidR="006B1F72">
        <w:rPr>
          <w:rFonts w:ascii="Times New Roman" w:hAnsi="Times New Roman" w:cs="Times New Roman"/>
          <w:sz w:val="24"/>
          <w:szCs w:val="24"/>
          <w:lang w:val="id-ID"/>
        </w:rPr>
        <w:t xml:space="preserve">paling sedikit </w:t>
      </w:r>
      <w:r>
        <w:rPr>
          <w:rFonts w:ascii="Times New Roman" w:hAnsi="Times New Roman" w:cs="Times New Roman"/>
          <w:sz w:val="24"/>
          <w:szCs w:val="24"/>
          <w:lang w:val="id-ID"/>
        </w:rPr>
        <w:t>sebesar 75% (tujuh puluh lima persen)</w:t>
      </w:r>
      <w:r w:rsidR="006B1F72">
        <w:rPr>
          <w:rFonts w:ascii="Times New Roman" w:hAnsi="Times New Roman" w:cs="Times New Roman"/>
          <w:sz w:val="24"/>
          <w:szCs w:val="24"/>
          <w:lang w:val="id-ID"/>
        </w:rPr>
        <w:t xml:space="preserve"> dan capaian keluaran menunjukkan paling sedikit sebesar 50% (lima puluh persen)</w:t>
      </w:r>
      <w:r>
        <w:rPr>
          <w:rFonts w:ascii="Times New Roman" w:hAnsi="Times New Roman" w:cs="Times New Roman"/>
          <w:sz w:val="24"/>
          <w:szCs w:val="24"/>
          <w:lang w:val="id-ID"/>
        </w:rPr>
        <w:t>; dan</w:t>
      </w:r>
    </w:p>
    <w:p w14:paraId="0D4FAB0C" w14:textId="77777777" w:rsidR="00CF1B05" w:rsidRDefault="00CF1B05"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w:t>
      </w:r>
      <w:r w:rsidR="006B1F72">
        <w:rPr>
          <w:rFonts w:ascii="Times New Roman" w:hAnsi="Times New Roman" w:cs="Times New Roman"/>
          <w:sz w:val="24"/>
          <w:szCs w:val="24"/>
          <w:lang w:val="id-ID"/>
        </w:rPr>
        <w:t xml:space="preserve"> Desa tahun anggaran sebelumnya; dan</w:t>
      </w:r>
    </w:p>
    <w:p w14:paraId="44619D09" w14:textId="77777777" w:rsidR="006B1F72" w:rsidRDefault="006B1F72" w:rsidP="00142059">
      <w:pPr>
        <w:pStyle w:val="ListParagraph"/>
        <w:numPr>
          <w:ilvl w:val="0"/>
          <w:numId w:val="9"/>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14:paraId="6FD24C84" w14:textId="77777777" w:rsidR="00012EB1" w:rsidRDefault="00CF1B05"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14:paraId="71CE5385" w14:textId="77777777" w:rsidR="00CF1B05" w:rsidRDefault="00CF1B05"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14:paraId="136700FE" w14:textId="77777777" w:rsidR="00A56878" w:rsidRDefault="00A56878" w:rsidP="00142059">
      <w:pPr>
        <w:pStyle w:val="ListParagraph"/>
        <w:numPr>
          <w:ilvl w:val="0"/>
          <w:numId w:val="3"/>
        </w:numPr>
        <w:spacing w:after="120" w:line="280" w:lineRule="exact"/>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14:paraId="719DC47F" w14:textId="77777777" w:rsidR="00142059" w:rsidRDefault="00142059" w:rsidP="00142059">
      <w:pPr>
        <w:pStyle w:val="ListParagraph"/>
        <w:numPr>
          <w:ilvl w:val="0"/>
          <w:numId w:val="2"/>
        </w:numPr>
        <w:spacing w:after="120" w:line="280" w:lineRule="exact"/>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Besaran BLT Desa sebagaimana dimaksud pada ayat (1) ditetapkan sebesar:</w:t>
      </w:r>
    </w:p>
    <w:p w14:paraId="4C882D21" w14:textId="77777777" w:rsidR="00142059" w:rsidRDefault="00142059" w:rsidP="00142059">
      <w:pPr>
        <w:pStyle w:val="ListParagraph"/>
        <w:numPr>
          <w:ilvl w:val="0"/>
          <w:numId w:val="15"/>
        </w:numPr>
        <w:spacing w:after="120" w:line="280" w:lineRule="exact"/>
        <w:ind w:left="63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Rp600.000,00 (enam ratus ribu rupiah) untuk bulan pertama sampai dengan bulan ketiga per keluarga penerima manfaat;</w:t>
      </w:r>
    </w:p>
    <w:p w14:paraId="1F382188" w14:textId="77777777" w:rsidR="00142059" w:rsidRPr="00142059" w:rsidRDefault="00142059" w:rsidP="00142059">
      <w:pPr>
        <w:pStyle w:val="ListParagraph"/>
        <w:numPr>
          <w:ilvl w:val="0"/>
          <w:numId w:val="15"/>
        </w:numPr>
        <w:spacing w:after="120" w:line="280" w:lineRule="exact"/>
        <w:ind w:left="63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Rp300.000,00 (tiga ratus ribu rupiah) untuk bulan keempat sampai dengan bulan keenam per keluarga penerima manfaat. (Pasal 32A ayat (5))</w:t>
      </w:r>
    </w:p>
    <w:p w14:paraId="476B3061" w14:textId="77777777" w:rsidR="00317464" w:rsidRDefault="00317464" w:rsidP="00142059">
      <w:pPr>
        <w:pStyle w:val="ListParagraph"/>
        <w:spacing w:after="120" w:line="280" w:lineRule="exact"/>
        <w:ind w:left="284"/>
        <w:contextualSpacing w:val="0"/>
        <w:jc w:val="both"/>
        <w:rPr>
          <w:rFonts w:ascii="Times New Roman" w:hAnsi="Times New Roman" w:cs="Times New Roman"/>
          <w:sz w:val="24"/>
          <w:szCs w:val="24"/>
          <w:lang w:val="id-ID"/>
        </w:rPr>
      </w:pPr>
    </w:p>
    <w:p w14:paraId="762BC823" w14:textId="77777777" w:rsidR="00067A57" w:rsidRDefault="00142059" w:rsidP="00142059">
      <w:pPr>
        <w:spacing w:after="120" w:line="280" w:lineRule="exact"/>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Undang-Undang Nomor 20 Tahun 2001 tentang </w:t>
      </w:r>
      <w:r w:rsidRPr="00142059">
        <w:rPr>
          <w:rFonts w:ascii="Times New Roman" w:hAnsi="Times New Roman" w:cs="Times New Roman"/>
          <w:sz w:val="24"/>
          <w:szCs w:val="24"/>
          <w:lang w:val="id-ID"/>
        </w:rPr>
        <w:t>Perubahan Atas Un</w:t>
      </w:r>
      <w:r>
        <w:rPr>
          <w:rFonts w:ascii="Times New Roman" w:hAnsi="Times New Roman" w:cs="Times New Roman"/>
          <w:sz w:val="24"/>
          <w:szCs w:val="24"/>
          <w:lang w:val="id-ID"/>
        </w:rPr>
        <w:t xml:space="preserve">dang-Undang Nomor 31 Tahun 1999 </w:t>
      </w:r>
      <w:r w:rsidRPr="00142059">
        <w:rPr>
          <w:rFonts w:ascii="Times New Roman" w:hAnsi="Times New Roman" w:cs="Times New Roman"/>
          <w:sz w:val="24"/>
          <w:szCs w:val="24"/>
          <w:lang w:val="id-ID"/>
        </w:rPr>
        <w:t>Tentang Pemberantasan Tindak Pidana Korupsi</w:t>
      </w:r>
      <w:r>
        <w:rPr>
          <w:rFonts w:ascii="Times New Roman" w:hAnsi="Times New Roman" w:cs="Times New Roman"/>
          <w:sz w:val="24"/>
          <w:szCs w:val="24"/>
          <w:lang w:val="id-ID"/>
        </w:rPr>
        <w:t>:</w:t>
      </w:r>
    </w:p>
    <w:p w14:paraId="08A9CAD3" w14:textId="77777777" w:rsidR="00142059" w:rsidRPr="00932D47" w:rsidRDefault="00142059" w:rsidP="00932D47">
      <w:pPr>
        <w:pStyle w:val="ListParagraph"/>
        <w:numPr>
          <w:ilvl w:val="0"/>
          <w:numId w:val="2"/>
        </w:numPr>
        <w:spacing w:after="120" w:line="280" w:lineRule="exact"/>
        <w:ind w:left="360"/>
        <w:contextualSpacing w:val="0"/>
        <w:jc w:val="both"/>
        <w:rPr>
          <w:rFonts w:ascii="Times New Roman" w:hAnsi="Times New Roman" w:cs="Times New Roman"/>
          <w:sz w:val="24"/>
          <w:szCs w:val="24"/>
          <w:lang w:val="id-ID"/>
        </w:rPr>
      </w:pPr>
      <w:r w:rsidRPr="00142059">
        <w:rPr>
          <w:rFonts w:ascii="Times New Roman" w:hAnsi="Times New Roman" w:cs="Times New Roman"/>
          <w:sz w:val="24"/>
          <w:szCs w:val="24"/>
          <w:lang w:val="id-ID"/>
        </w:rPr>
        <w:t>Dipidana dengan pidana penjara seumur hidup atau pidana penjara paling singkat 4 (empat) tahun dan paling lama 20 (dua puluh) tahun dan pidana denda paling sedikit Rp 200.000.000,00 (dua ratus juta rupiah) dan paling banyak Rp 1.000.000.000,00 (satu miliar rupiah) .... pegawai negeri atau penyelenggara negara yang dengan maksud menguntungkan diri sendiri atau orang lain secara melawan hukum, atau dengan menyalahgunakan kekuasaannya memaksa seseorang, memberikan sesuatu, membayar, atau menerima pembayaran dengan</w:t>
      </w:r>
      <w:r>
        <w:rPr>
          <w:rFonts w:ascii="Times New Roman" w:hAnsi="Times New Roman" w:cs="Times New Roman"/>
          <w:sz w:val="24"/>
          <w:szCs w:val="24"/>
          <w:lang w:val="id-ID"/>
        </w:rPr>
        <w:t xml:space="preserve"> </w:t>
      </w:r>
      <w:r w:rsidRPr="00142059">
        <w:rPr>
          <w:rFonts w:ascii="Times New Roman" w:hAnsi="Times New Roman" w:cs="Times New Roman"/>
          <w:sz w:val="24"/>
          <w:szCs w:val="24"/>
          <w:lang w:val="id-ID"/>
        </w:rPr>
        <w:t>potongan, atau untuk mengerjakan sesuatu bagi dirinya sendiri;</w:t>
      </w:r>
      <w:r>
        <w:rPr>
          <w:rFonts w:ascii="Times New Roman" w:hAnsi="Times New Roman" w:cs="Times New Roman"/>
          <w:sz w:val="24"/>
          <w:szCs w:val="24"/>
          <w:lang w:val="id-ID"/>
        </w:rPr>
        <w:t xml:space="preserve"> (Pasal 12 huruf e)</w:t>
      </w:r>
    </w:p>
    <w:p w14:paraId="74D6A78A" w14:textId="77777777" w:rsidR="00067A57" w:rsidRPr="00142059" w:rsidRDefault="00067A57" w:rsidP="00142059">
      <w:pPr>
        <w:spacing w:after="120" w:line="280" w:lineRule="exact"/>
        <w:jc w:val="both"/>
        <w:rPr>
          <w:rFonts w:ascii="Times New Roman" w:hAnsi="Times New Roman" w:cs="Times New Roman"/>
          <w:sz w:val="24"/>
          <w:szCs w:val="24"/>
          <w:lang w:val="id-ID"/>
        </w:rPr>
      </w:pPr>
    </w:p>
    <w:p w14:paraId="69E63D62" w14:textId="77777777" w:rsidR="00437FDD" w:rsidRDefault="00437FDD" w:rsidP="00142059">
      <w:pPr>
        <w:spacing w:after="120" w:line="280" w:lineRule="exact"/>
        <w:jc w:val="both"/>
        <w:rPr>
          <w:rFonts w:ascii="Times New Roman" w:hAnsi="Times New Roman" w:cs="Times New Roman"/>
          <w:sz w:val="24"/>
          <w:szCs w:val="24"/>
        </w:rPr>
      </w:pPr>
    </w:p>
    <w:sectPr w:rsidR="00437FD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CFA"/>
    <w:multiLevelType w:val="hybridMultilevel"/>
    <w:tmpl w:val="D6E0F622"/>
    <w:lvl w:ilvl="0" w:tplc="B1464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9BD79DD"/>
    <w:multiLevelType w:val="hybridMultilevel"/>
    <w:tmpl w:val="FF1CA13C"/>
    <w:lvl w:ilvl="0" w:tplc="D750B5F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9FD138F"/>
    <w:multiLevelType w:val="hybridMultilevel"/>
    <w:tmpl w:val="9F7271C4"/>
    <w:lvl w:ilvl="0" w:tplc="A498D89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64C054AC"/>
    <w:multiLevelType w:val="hybridMultilevel"/>
    <w:tmpl w:val="2FDA09BA"/>
    <w:lvl w:ilvl="0" w:tplc="38183EF8">
      <w:start w:val="1"/>
      <w:numFmt w:val="decimal"/>
      <w:lvlText w:val="%1."/>
      <w:lvlJc w:val="left"/>
      <w:pPr>
        <w:ind w:left="720" w:hanging="36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8"/>
  </w:num>
  <w:num w:numId="2">
    <w:abstractNumId w:val="1"/>
  </w:num>
  <w:num w:numId="3">
    <w:abstractNumId w:val="3"/>
  </w:num>
  <w:num w:numId="4">
    <w:abstractNumId w:val="4"/>
  </w:num>
  <w:num w:numId="5">
    <w:abstractNumId w:val="2"/>
  </w:num>
  <w:num w:numId="6">
    <w:abstractNumId w:val="12"/>
  </w:num>
  <w:num w:numId="7">
    <w:abstractNumId w:val="10"/>
  </w:num>
  <w:num w:numId="8">
    <w:abstractNumId w:val="15"/>
  </w:num>
  <w:num w:numId="9">
    <w:abstractNumId w:val="11"/>
  </w:num>
  <w:num w:numId="10">
    <w:abstractNumId w:val="7"/>
  </w:num>
  <w:num w:numId="11">
    <w:abstractNumId w:val="9"/>
  </w:num>
  <w:num w:numId="12">
    <w:abstractNumId w:val="6"/>
  </w:num>
  <w:num w:numId="13">
    <w:abstractNumId w:val="0"/>
  </w:num>
  <w:num w:numId="14">
    <w:abstractNumId w:val="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B5951"/>
    <w:rsid w:val="00012EB1"/>
    <w:rsid w:val="00027D2B"/>
    <w:rsid w:val="00067A57"/>
    <w:rsid w:val="00113F7E"/>
    <w:rsid w:val="00142059"/>
    <w:rsid w:val="001A325A"/>
    <w:rsid w:val="00301171"/>
    <w:rsid w:val="00317464"/>
    <w:rsid w:val="003227AC"/>
    <w:rsid w:val="003935E8"/>
    <w:rsid w:val="00437FDD"/>
    <w:rsid w:val="004671E2"/>
    <w:rsid w:val="00663ADA"/>
    <w:rsid w:val="006B1F72"/>
    <w:rsid w:val="007607B6"/>
    <w:rsid w:val="007C1540"/>
    <w:rsid w:val="008C7ED6"/>
    <w:rsid w:val="008D69AC"/>
    <w:rsid w:val="008E7008"/>
    <w:rsid w:val="00932D47"/>
    <w:rsid w:val="009926DF"/>
    <w:rsid w:val="009A5271"/>
    <w:rsid w:val="00A56878"/>
    <w:rsid w:val="00BF5066"/>
    <w:rsid w:val="00CF1B05"/>
    <w:rsid w:val="00D929D2"/>
    <w:rsid w:val="00DD3D5A"/>
    <w:rsid w:val="00E87F73"/>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3ABAF"/>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 w:type="character" w:styleId="UnresolvedMention">
    <w:name w:val="Unresolved Mention"/>
    <w:basedOn w:val="DefaultParagraphFont"/>
    <w:uiPriority w:val="99"/>
    <w:semiHidden/>
    <w:unhideWhenUsed/>
    <w:rsid w:val="00DD3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nsidelombok.id/berita-utama/penerima-blt-di-lingsar-keluhkan-pemotongan-bantuan-dari-oknum-kadus/" TargetMode="External"/><Relationship Id="rId3" Type="http://schemas.openxmlformats.org/officeDocument/2006/relationships/styles" Target="styles.xml"/><Relationship Id="rId7" Type="http://schemas.openxmlformats.org/officeDocument/2006/relationships/hyperlink" Target="https://insidelombok.id/berita-utama/penerima-blt-di-lingsar-keluhkan-pemotongan-bantuan-dari-oknum-ka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Customer</cp:lastModifiedBy>
  <cp:revision>11</cp:revision>
  <dcterms:created xsi:type="dcterms:W3CDTF">2020-06-19T06:28:00Z</dcterms:created>
  <dcterms:modified xsi:type="dcterms:W3CDTF">2020-12-30T07:47:00Z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