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AD" w:rsidRDefault="00A60E69" w:rsidP="00326F13">
      <w:pPr>
        <w:spacing w:after="0" w:line="360" w:lineRule="auto"/>
        <w:jc w:val="center"/>
        <w:rPr>
          <w:rFonts w:ascii="Times New Roman" w:hAnsi="Times New Roman" w:cs="Times New Roman"/>
          <w:b/>
          <w:color w:val="222222"/>
          <w:sz w:val="28"/>
          <w:szCs w:val="28"/>
          <w:shd w:val="clear" w:color="auto" w:fill="FFFFFF"/>
        </w:rPr>
      </w:pPr>
      <w:r w:rsidRPr="00A60E69">
        <w:rPr>
          <w:rFonts w:ascii="Times New Roman" w:hAnsi="Times New Roman" w:cs="Times New Roman"/>
          <w:b/>
          <w:sz w:val="28"/>
          <w:szCs w:val="28"/>
          <w:lang w:val="id"/>
        </w:rPr>
        <w:t>ADO : NTB Banyak Kehilangan PAD dari Taksi “Online”</w:t>
      </w:r>
      <w:r w:rsidR="0054472B" w:rsidRPr="007B256B">
        <w:rPr>
          <w:rFonts w:ascii="Times New Roman" w:hAnsi="Times New Roman" w:cs="Times New Roman"/>
          <w:b/>
          <w:color w:val="222222"/>
          <w:sz w:val="40"/>
        </w:rPr>
        <w:br/>
      </w:r>
      <w:r w:rsidR="00D24D4F">
        <w:rPr>
          <w:rFonts w:ascii="Times New Roman" w:hAnsi="Times New Roman" w:cs="Times New Roman"/>
          <w:noProof/>
          <w:sz w:val="24"/>
          <w:szCs w:val="24"/>
        </w:rPr>
        <w:drawing>
          <wp:inline distT="0" distB="0" distL="0" distR="0">
            <wp:extent cx="2800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54472B" w:rsidRPr="00A610AD" w:rsidRDefault="00D24D4F"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News.ddtc.co.id</w:t>
      </w:r>
      <w:r w:rsidR="0054472B" w:rsidRPr="00A610AD">
        <w:rPr>
          <w:rFonts w:ascii="Arial" w:hAnsi="Arial" w:cs="Arial"/>
          <w:i/>
          <w:color w:val="222222"/>
        </w:rPr>
        <w:br/>
      </w:r>
    </w:p>
    <w:p w:rsidR="00A60E69" w:rsidRDefault="00A60E69" w:rsidP="00A60E69">
      <w:pPr>
        <w:autoSpaceDE w:val="0"/>
        <w:autoSpaceDN w:val="0"/>
        <w:adjustRightInd w:val="0"/>
        <w:spacing w:after="200" w:line="276" w:lineRule="auto"/>
        <w:jc w:val="both"/>
        <w:rPr>
          <w:rFonts w:ascii="Times New Roman" w:hAnsi="Times New Roman" w:cs="Times New Roman"/>
          <w:sz w:val="24"/>
          <w:szCs w:val="24"/>
          <w:lang w:val="id"/>
        </w:rPr>
      </w:pPr>
      <w:r w:rsidRPr="00A60E69">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Asosiasi Driver Online (ADO) Provinsi NTB menyorot ketidaktegasan pemerintah daerah mengelola taksi berbasis layanan daring (online). Tata kelolanya makin amburadul, PAD makin banyak bocor. Hal ini dikemukakan Ketua ADO Provinsi NTB, Wahyudi Wirakarsa kepada Suara NTB, Kamis, 10 Desember 2020. Jumlah taksi online makin banyak. Namun tidak ditata dengan baik oleh pemerintah daerah.</w:t>
      </w:r>
    </w:p>
    <w:p w:rsidR="00A60E69" w:rsidRDefault="00A60E69" w:rsidP="00A60E6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ADO bahkan sudah melakukan beberapa langkah, diantaranya ke Ombudsman agar pemerintah daerah, dalam hal ini Dinas Perhubungan Provinsi NTB untuk tegas bersikap, melakukan penertiban. “Semuanya tidak jelas. Kuota tidak ada, Peraturan Gubernur tidak mau dibuat. Rekomendasi dari Ombudsman untuk 2020 ini juga diundur ke tahun 2021,” ujarnya.</w:t>
      </w:r>
    </w:p>
    <w:p w:rsidR="00A60E69" w:rsidRDefault="00A60E69" w:rsidP="00A60E6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 saat pandemi corona ini, ada 800-an pengemudi yang aktif. Jumlah ini bahkan diduga lebih besar. Dibawah ADO, ada 148 anggota yang aktif. Mereka terdaftar sebagai mitra di Grab, InDriver, Gojek, Lombok Waw dan Bali Was. Beberapa aplikasi juga terus membuka pendaftaran kepada mitra. Akibatnya, persaingan antar sesama pengemudi taksi online menjadi tak sehat. Yang paling disorot adalah ketimpangan antar pengemudi taksi online yang legal dan illegal.</w:t>
      </w:r>
    </w:p>
    <w:p w:rsidR="00A60E69" w:rsidRDefault="00A60E69" w:rsidP="00A60E6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 satu sisi, taksi online yang sudah terdaftar ini dibebankan kewajiban untuk PAD. Sesuai yang diatur oleh Perda Nomor 5 Tahun 2018 tentang retribusi dari angkutan online. Misalnya, izin setahun dikenakan Rp100.000 per unit taksi online.  Kemudian izin pelayanan operasional selama lima tahun dibayar dimuka sebesar Rp50.000 per unit taksi online.</w:t>
      </w:r>
    </w:p>
    <w:p w:rsidR="00A60E69" w:rsidRDefault="00A60E69" w:rsidP="00A60E6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“Kalau yang terdaftar hanya sebanyak 148, lalu yang ratusan lainnya apa kontribusinya kepada PAD, dan itu dibiarkan oleh pemerintah daerah,” ujarnya. Masih menurut Wahyudi, pendaftaran mitra pengemudi yang terus menerus dilakukan oleh aplikasi ini tidak dibarengi dengan pemberian bonus. Seperti halnya awal-awal booming taksi online. Sehingga, pengemudi memilih-milih penumpang yang tarifnya paling bawah Rp30.000 sekali jalan. Atau dengan target sehari semalam melayani enam penumpang untuk mendapatkan Rp150.000.</w:t>
      </w:r>
    </w:p>
    <w:p w:rsidR="00A60E69" w:rsidRDefault="00A60E69" w:rsidP="00A60E6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“Kalau ngambil tarif yang sekali jalan Rp15.000, berarti butuh sepuluh penumpang untuk mendapatkan Rp150.000,” imbuhnya. Karena itu, ADO mendorong pemerintah daerah mengambil sikap. Bisa saja, pemerintah melegalkan sebanyak-banyaknya pengemudi taksi online. Namun harus merata pembebanan kewajiban para pengemudi seperti yang diatur oleh peraturan menteri perhubungan, atau peraturan daerah. Atau, pemerintah daerah membuat aplikasi tersediri. Lalu mengakomodir taksi-taksi online agar lebih mudah dikelola.</w:t>
      </w:r>
    </w:p>
    <w:p w:rsidR="00D24D4F" w:rsidRDefault="00A60E69" w:rsidP="00A60E69">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“Kalau Dinas Perdagangan saja mampu membuat NTB Mall untuk mengatur para UMKM. Pak gubernur juga bangga-bangga dengan produk lokal, kenapa tidak Dinas Perhubungan membuat aplikasi online sendiri. Sehingga daerah tidak banyak kecolongan PAD, dan tata kelola taksi online ini jelas,” ujarnya. Wahyudi mengatakan, ADO tidak ingin kebijakan pemerintah kepada orang-orang tertentu saja, di sisi lain masih banyak yang dilonggarkan. Selain itu, ADO juga menyayangkan besarnya potensi PAD yang hilang begitu saja. (bul)</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10AD" w:rsidP="00D24D4F">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 xml:space="preserve">Suara NTB, </w:t>
      </w:r>
      <w:r w:rsidR="00A60E69" w:rsidRPr="00A60E69">
        <w:rPr>
          <w:rFonts w:ascii="Times New Roman" w:hAnsi="Times New Roman" w:cs="Times New Roman"/>
          <w:i/>
          <w:sz w:val="24"/>
          <w:szCs w:val="24"/>
          <w:lang w:val="id"/>
        </w:rPr>
        <w:t>ADO : NTB Banyak Kehilangan PAD dari Taksi “Online”</w:t>
      </w:r>
      <w:r w:rsidRPr="00A60E69">
        <w:rPr>
          <w:rFonts w:ascii="Times New Roman" w:hAnsi="Times New Roman" w:cs="Times New Roman"/>
          <w:i/>
          <w:color w:val="222222"/>
          <w:sz w:val="24"/>
          <w:szCs w:val="24"/>
          <w:shd w:val="clear" w:color="auto" w:fill="FFFFFF"/>
          <w:lang w:val="id-ID"/>
        </w:rPr>
        <w:t>,</w:t>
      </w:r>
      <w:r>
        <w:rPr>
          <w:rFonts w:ascii="Times New Roman" w:hAnsi="Times New Roman" w:cs="Times New Roman"/>
          <w:color w:val="222222"/>
          <w:sz w:val="24"/>
          <w:szCs w:val="24"/>
          <w:shd w:val="clear" w:color="auto" w:fill="FFFFFF"/>
          <w:lang w:val="id-ID"/>
        </w:rPr>
        <w:t xml:space="preserve"> </w:t>
      </w:r>
      <w:r w:rsidR="00A60E69">
        <w:rPr>
          <w:rFonts w:ascii="Times New Roman" w:hAnsi="Times New Roman" w:cs="Times New Roman"/>
          <w:color w:val="222222"/>
          <w:sz w:val="24"/>
          <w:szCs w:val="24"/>
          <w:shd w:val="clear" w:color="auto" w:fill="FFFFFF"/>
          <w:lang w:val="id-ID"/>
        </w:rPr>
        <w:t>Jumat</w:t>
      </w:r>
      <w:r w:rsidR="00D24D4F">
        <w:rPr>
          <w:rFonts w:ascii="Times New Roman" w:hAnsi="Times New Roman" w:cs="Times New Roman"/>
          <w:color w:val="222222"/>
          <w:sz w:val="24"/>
          <w:szCs w:val="24"/>
          <w:shd w:val="clear" w:color="auto" w:fill="FFFFFF"/>
          <w:lang w:val="id-ID"/>
        </w:rPr>
        <w:t>, 1</w:t>
      </w:r>
      <w:r w:rsidR="00A60E69">
        <w:rPr>
          <w:rFonts w:ascii="Times New Roman" w:hAnsi="Times New Roman" w:cs="Times New Roman"/>
          <w:color w:val="222222"/>
          <w:sz w:val="24"/>
          <w:szCs w:val="24"/>
          <w:shd w:val="clear" w:color="auto" w:fill="FFFFFF"/>
          <w:lang w:val="id-ID"/>
        </w:rPr>
        <w:t>1</w:t>
      </w:r>
      <w:r>
        <w:rPr>
          <w:rFonts w:ascii="Times New Roman" w:hAnsi="Times New Roman" w:cs="Times New Roman"/>
          <w:color w:val="222222"/>
          <w:sz w:val="24"/>
          <w:szCs w:val="24"/>
          <w:shd w:val="clear" w:color="auto" w:fill="FFFFFF"/>
          <w:lang w:val="id-ID"/>
        </w:rPr>
        <w:t xml:space="preserve"> </w:t>
      </w:r>
      <w:r w:rsidR="00A60E69">
        <w:rPr>
          <w:rFonts w:ascii="Times New Roman" w:hAnsi="Times New Roman" w:cs="Times New Roman"/>
          <w:color w:val="222222"/>
          <w:sz w:val="24"/>
          <w:szCs w:val="24"/>
          <w:shd w:val="clear" w:color="auto" w:fill="FFFFFF"/>
          <w:lang w:val="id-ID"/>
        </w:rPr>
        <w:t xml:space="preserve">Desember </w:t>
      </w:r>
      <w:r>
        <w:rPr>
          <w:rFonts w:ascii="Times New Roman" w:hAnsi="Times New Roman" w:cs="Times New Roman"/>
          <w:color w:val="222222"/>
          <w:sz w:val="24"/>
          <w:szCs w:val="24"/>
          <w:shd w:val="clear" w:color="auto" w:fill="FFFFFF"/>
          <w:lang w:val="id-ID"/>
        </w:rPr>
        <w:t>2020.</w:t>
      </w:r>
    </w:p>
    <w:p w:rsidR="00D24D4F" w:rsidRPr="00A60E69" w:rsidRDefault="00A60E69" w:rsidP="00A60E69">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hyperlink r:id="rId6" w:history="1">
        <w:r w:rsidRPr="00347F22">
          <w:rPr>
            <w:rStyle w:val="Hyperlink"/>
            <w:rFonts w:ascii="Times New Roman" w:hAnsi="Times New Roman" w:cs="Times New Roman"/>
            <w:sz w:val="24"/>
            <w:szCs w:val="24"/>
            <w:lang w:val="id"/>
          </w:rPr>
          <w:t>https://www.suarantb.com/ado-ntb-banyak-kehilangan-pad-dari-taksi-online/</w:t>
        </w:r>
      </w:hyperlink>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C7909">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rsidR="00A610AD" w:rsidRDefault="00A610AD"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rsidR="00A610AD" w:rsidRDefault="002811B8"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6A4281">
        <w:rPr>
          <w:rFonts w:ascii="Times New Roman" w:hAnsi="Times New Roman" w:cs="Times New Roman"/>
          <w:color w:val="222222"/>
          <w:sz w:val="24"/>
          <w:szCs w:val="24"/>
          <w:shd w:val="clear" w:color="auto" w:fill="FFFFFF"/>
          <w:lang w:val="id-ID"/>
        </w:rPr>
        <w:t xml:space="preserve"> (Pasal 24 ayat (2))</w:t>
      </w:r>
      <w:r>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rsidR="00A610AD" w:rsidRPr="00A610AD"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rsidR="00A610AD" w:rsidRPr="00A610AD" w:rsidRDefault="00A610AD"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Pr>
          <w:rFonts w:ascii="Times New Roman" w:hAnsi="Times New Roman" w:cs="Times New Roman"/>
          <w:sz w:val="24"/>
          <w:szCs w:val="24"/>
          <w:lang w:val="id-ID"/>
        </w:rPr>
        <w:t xml:space="preserve"> (Pasal 1 angka 7)</w:t>
      </w:r>
      <w:r w:rsidR="002811B8">
        <w:rPr>
          <w:rFonts w:ascii="Times New Roman" w:hAnsi="Times New Roman" w:cs="Times New Roman"/>
          <w:sz w:val="24"/>
          <w:szCs w:val="24"/>
          <w:lang w:val="id-ID"/>
        </w:rPr>
        <w:t>.</w:t>
      </w:r>
    </w:p>
    <w:p w:rsidR="00A610AD"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Pr>
          <w:rFonts w:ascii="Times New Roman" w:hAnsi="Times New Roman" w:cs="Times New Roman"/>
          <w:sz w:val="24"/>
          <w:szCs w:val="24"/>
          <w:lang w:val="id-ID"/>
        </w:rPr>
        <w:t xml:space="preserve"> (Pasal 28 ayat (1))</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Pr>
          <w:rFonts w:ascii="Times New Roman" w:hAnsi="Times New Roman" w:cs="Times New Roman"/>
          <w:sz w:val="24"/>
          <w:szCs w:val="24"/>
          <w:lang w:val="id-ID"/>
        </w:rPr>
        <w:t xml:space="preserve"> (Pasal 29)</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Transfer; dan</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rsid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Pendapatan Asli Daerah (PAD) </w:t>
      </w:r>
      <w:r w:rsidR="002811B8">
        <w:rPr>
          <w:rFonts w:ascii="Times New Roman" w:hAnsi="Times New Roman" w:cs="Times New Roman"/>
          <w:color w:val="222222"/>
          <w:sz w:val="24"/>
          <w:szCs w:val="24"/>
          <w:shd w:val="clear" w:color="auto" w:fill="FFFFFF"/>
          <w:lang w:val="id-ID"/>
        </w:rPr>
        <w:t>meliputi</w:t>
      </w:r>
      <w:r>
        <w:rPr>
          <w:rFonts w:ascii="Times New Roman" w:hAnsi="Times New Roman" w:cs="Times New Roman"/>
          <w:color w:val="222222"/>
          <w:sz w:val="24"/>
          <w:szCs w:val="24"/>
          <w:shd w:val="clear" w:color="auto" w:fill="FFFFFF"/>
          <w:lang w:val="id-ID"/>
        </w:rPr>
        <w:t xml:space="preserve"> (Pasal 31 ayat (1))</w:t>
      </w:r>
      <w:r w:rsidR="002811B8">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Pajak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Lain-lain PAD yang Sah.</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Pendapatan pajak daerah dan retribusi daerah meliputi pendapatan sesuai dengan ketentuan peraturan perundang-undangan yang mengatur mengenai pajak daerah dan retribusi daerah</w:t>
      </w:r>
      <w:r>
        <w:rPr>
          <w:rFonts w:ascii="Times New Roman" w:hAnsi="Times New Roman" w:cs="Times New Roman"/>
          <w:sz w:val="24"/>
          <w:szCs w:val="24"/>
          <w:lang w:val="id-ID"/>
        </w:rPr>
        <w:t xml:space="preserve"> (Pasal 31 ayat(2))</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kekayaan daerah yang dipisahkan merupakan Penerimaan Daerah atas hasil penyertaan modal daerah</w:t>
      </w:r>
      <w:r>
        <w:rPr>
          <w:rFonts w:ascii="Times New Roman" w:hAnsi="Times New Roman" w:cs="Times New Roman"/>
          <w:sz w:val="24"/>
          <w:szCs w:val="24"/>
          <w:lang w:val="id-ID"/>
        </w:rPr>
        <w:t xml:space="preserve"> (Pasal 31 ayat (3))</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Lain-lain pendapatan asli Daerah yang sah terdiri atas</w:t>
      </w:r>
      <w:r>
        <w:rPr>
          <w:rFonts w:ascii="Times New Roman" w:hAnsi="Times New Roman" w:cs="Times New Roman"/>
          <w:sz w:val="24"/>
          <w:szCs w:val="24"/>
          <w:lang w:val="id-ID"/>
        </w:rPr>
        <w:t xml:space="preserve"> (Pasal 31 ayat (4))</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rsidR="006A4281" w:rsidRPr="00B17A2B"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BLUD</w:t>
      </w:r>
      <w:r>
        <w:rPr>
          <w:rFonts w:ascii="Times New Roman" w:hAnsi="Times New Roman" w:cs="Times New Roman"/>
          <w:sz w:val="24"/>
          <w:szCs w:val="24"/>
          <w:lang w:val="id-ID"/>
        </w:rPr>
        <w:t>; dan</w:t>
      </w:r>
    </w:p>
    <w:p w:rsidR="00B17A2B" w:rsidRPr="00DA6459"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rsidR="00DA6459"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p>
    <w:p w:rsidR="002811B8"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rsidR="00DA6459" w:rsidRPr="002811B8" w:rsidRDefault="002811B8"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Pr>
          <w:rFonts w:ascii="Times New Roman" w:hAnsi="Times New Roman" w:cs="Times New Roman"/>
          <w:sz w:val="24"/>
          <w:szCs w:val="24"/>
          <w:lang w:val="id-ID"/>
        </w:rPr>
        <w:t xml:space="preserve"> (Pasal 1 angka 10).</w:t>
      </w:r>
    </w:p>
    <w:p w:rsidR="00A209D7" w:rsidRPr="00AB4141" w:rsidRDefault="00AB4141"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 (Pasal 2 ayat (2)):</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Hiburan;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rsidR="00AB4141" w:rsidRPr="00AC7909"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Retribusi Daerah, yang selanjutnya disebut Retribusi, adalah pungutan Daerah sebagai pembayaran atas jasa atau pemberian izin tertentu yang khusus disediakan dan/atau diberikan oleh Pemerintah Daerah untuk kepentingan orang pribadi atau Badan</w:t>
      </w:r>
      <w:r>
        <w:rPr>
          <w:rFonts w:ascii="Times New Roman" w:hAnsi="Times New Roman" w:cs="Times New Roman"/>
          <w:sz w:val="24"/>
          <w:szCs w:val="24"/>
          <w:lang w:val="id-ID"/>
        </w:rPr>
        <w:t xml:space="preserve"> (Pasal 1 angka 64).</w:t>
      </w:r>
    </w:p>
    <w:p w:rsidR="00AC7909" w:rsidRPr="002811B8"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Objek Retribusi adalah (Pasal 108 ayat (1):</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Umum;</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Usaha; dan</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Perizinan Tertentu</w:t>
      </w:r>
    </w:p>
    <w:p w:rsidR="00E8193F" w:rsidRDefault="00E8193F" w:rsidP="00E8193F">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Peraturan Daerah Nusa Tenggara Barat Nomor 5 Tahun 2018 tentang Retribusi Daerah:</w:t>
      </w:r>
    </w:p>
    <w:p w:rsidR="00E8193F" w:rsidRPr="002811B8" w:rsidRDefault="00E8193F" w:rsidP="00E8193F">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O</w:t>
      </w:r>
      <w:r>
        <w:rPr>
          <w:rFonts w:ascii="Times New Roman" w:hAnsi="Times New Roman" w:cs="Times New Roman"/>
          <w:sz w:val="24"/>
          <w:szCs w:val="24"/>
          <w:lang w:val="id-ID"/>
        </w:rPr>
        <w:t>bjek Retribusi adalah (Pasal 2</w:t>
      </w:r>
      <w:r>
        <w:rPr>
          <w:rFonts w:ascii="Times New Roman" w:hAnsi="Times New Roman" w:cs="Times New Roman"/>
          <w:sz w:val="24"/>
          <w:szCs w:val="24"/>
          <w:lang w:val="id-ID"/>
        </w:rPr>
        <w:t xml:space="preserve"> ayat (1):</w:t>
      </w:r>
    </w:p>
    <w:p w:rsidR="00E8193F" w:rsidRPr="00E8193F" w:rsidRDefault="00E8193F" w:rsidP="00E8193F">
      <w:pPr>
        <w:pStyle w:val="ListParagraph"/>
        <w:numPr>
          <w:ilvl w:val="0"/>
          <w:numId w:val="1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sidRPr="00E8193F">
        <w:rPr>
          <w:rFonts w:ascii="Times New Roman" w:hAnsi="Times New Roman" w:cs="Times New Roman"/>
          <w:color w:val="222222"/>
          <w:sz w:val="24"/>
          <w:szCs w:val="24"/>
          <w:shd w:val="clear" w:color="auto" w:fill="FFFFFF"/>
          <w:lang w:val="id-ID"/>
        </w:rPr>
        <w:t>Jasa Umum;</w:t>
      </w:r>
    </w:p>
    <w:p w:rsidR="00E8193F" w:rsidRDefault="00E8193F" w:rsidP="00E8193F">
      <w:pPr>
        <w:pStyle w:val="ListParagraph"/>
        <w:numPr>
          <w:ilvl w:val="0"/>
          <w:numId w:val="1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Usaha; dan</w:t>
      </w:r>
    </w:p>
    <w:p w:rsidR="00E8193F" w:rsidRDefault="00E8193F" w:rsidP="00E8193F">
      <w:pPr>
        <w:pStyle w:val="ListParagraph"/>
        <w:numPr>
          <w:ilvl w:val="0"/>
          <w:numId w:val="1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Perizinan Tertentu</w:t>
      </w:r>
    </w:p>
    <w:p w:rsidR="00E8193F" w:rsidRDefault="00E8193F" w:rsidP="00E8193F">
      <w:pPr>
        <w:pStyle w:val="ListParagraph"/>
        <w:numPr>
          <w:ilvl w:val="0"/>
          <w:numId w:val="13"/>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Jenis Retribusi Jasa Umum meliputi (Pasal 3):</w:t>
      </w:r>
    </w:p>
    <w:p w:rsidR="00E8193F" w:rsidRDefault="00E8193F" w:rsidP="00E8193F">
      <w:pPr>
        <w:pStyle w:val="ListParagraph"/>
        <w:numPr>
          <w:ilvl w:val="0"/>
          <w:numId w:val="1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Pelayanan K</w:t>
      </w:r>
      <w:r w:rsidR="00985835">
        <w:rPr>
          <w:rFonts w:ascii="Times New Roman" w:hAnsi="Times New Roman" w:cs="Times New Roman"/>
          <w:color w:val="222222"/>
          <w:sz w:val="24"/>
          <w:szCs w:val="24"/>
          <w:shd w:val="clear" w:color="auto" w:fill="FFFFFF"/>
          <w:lang w:val="id-ID"/>
        </w:rPr>
        <w:t>esehatan;</w:t>
      </w:r>
    </w:p>
    <w:p w:rsidR="00985835" w:rsidRDefault="00985835" w:rsidP="00E8193F">
      <w:pPr>
        <w:pStyle w:val="ListParagraph"/>
        <w:numPr>
          <w:ilvl w:val="0"/>
          <w:numId w:val="1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Penggantian Biaya Cetak Peta.</w:t>
      </w:r>
    </w:p>
    <w:p w:rsidR="00E8193F" w:rsidRPr="00985835" w:rsidRDefault="00985835" w:rsidP="00E8193F">
      <w:pPr>
        <w:pStyle w:val="ListParagraph"/>
        <w:numPr>
          <w:ilvl w:val="0"/>
          <w:numId w:val="13"/>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Jenis Retribusi Jasa Usaha meliputi</w:t>
      </w:r>
      <w:r>
        <w:rPr>
          <w:rFonts w:ascii="Times New Roman" w:hAnsi="Times New Roman" w:cs="Times New Roman"/>
          <w:sz w:val="24"/>
          <w:szCs w:val="24"/>
          <w:lang w:val="id-ID"/>
        </w:rPr>
        <w:t xml:space="preserve"> (Pasal 8):</w:t>
      </w:r>
    </w:p>
    <w:p w:rsidR="00985835" w:rsidRPr="00985835" w:rsidRDefault="00985835" w:rsidP="00985835">
      <w:pPr>
        <w:pStyle w:val="ListParagraph"/>
        <w:numPr>
          <w:ilvl w:val="0"/>
          <w:numId w:val="1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Pemakaian Kekayaan Daerah</w:t>
      </w:r>
      <w:r>
        <w:rPr>
          <w:rFonts w:ascii="Times New Roman" w:hAnsi="Times New Roman" w:cs="Times New Roman"/>
          <w:sz w:val="24"/>
          <w:szCs w:val="24"/>
          <w:lang w:val="id-ID"/>
        </w:rPr>
        <w:t>;</w:t>
      </w:r>
    </w:p>
    <w:p w:rsidR="00985835" w:rsidRPr="00985835" w:rsidRDefault="00985835" w:rsidP="00985835">
      <w:pPr>
        <w:pStyle w:val="ListParagraph"/>
        <w:numPr>
          <w:ilvl w:val="0"/>
          <w:numId w:val="1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Tempat Rekreasi dan Olahraga</w:t>
      </w:r>
      <w:r>
        <w:rPr>
          <w:rFonts w:ascii="Times New Roman" w:hAnsi="Times New Roman" w:cs="Times New Roman"/>
          <w:sz w:val="24"/>
          <w:szCs w:val="24"/>
          <w:lang w:val="id-ID"/>
        </w:rPr>
        <w:t>;</w:t>
      </w:r>
    </w:p>
    <w:p w:rsidR="00985835" w:rsidRPr="00985835" w:rsidRDefault="00985835" w:rsidP="00985835">
      <w:pPr>
        <w:pStyle w:val="ListParagraph"/>
        <w:numPr>
          <w:ilvl w:val="0"/>
          <w:numId w:val="1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Penjualan Produksi Usaha Daerah</w:t>
      </w:r>
      <w:r>
        <w:rPr>
          <w:rFonts w:ascii="Times New Roman" w:hAnsi="Times New Roman" w:cs="Times New Roman"/>
          <w:sz w:val="24"/>
          <w:szCs w:val="24"/>
          <w:lang w:val="id-ID"/>
        </w:rPr>
        <w:t>;</w:t>
      </w:r>
    </w:p>
    <w:p w:rsidR="00985835" w:rsidRPr="00985835" w:rsidRDefault="00985835" w:rsidP="00985835">
      <w:pPr>
        <w:pStyle w:val="ListParagraph"/>
        <w:numPr>
          <w:ilvl w:val="0"/>
          <w:numId w:val="1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Tempat Penginapan/Pesanggarahan/Villa</w:t>
      </w:r>
      <w:r>
        <w:rPr>
          <w:rFonts w:ascii="Times New Roman" w:hAnsi="Times New Roman" w:cs="Times New Roman"/>
          <w:sz w:val="24"/>
          <w:szCs w:val="24"/>
          <w:lang w:val="id-ID"/>
        </w:rPr>
        <w:t>; dan</w:t>
      </w:r>
    </w:p>
    <w:p w:rsidR="00985835" w:rsidRPr="00985835" w:rsidRDefault="00985835" w:rsidP="00985835">
      <w:pPr>
        <w:pStyle w:val="ListParagraph"/>
        <w:numPr>
          <w:ilvl w:val="0"/>
          <w:numId w:val="1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Termina</w:t>
      </w:r>
      <w:r>
        <w:rPr>
          <w:rFonts w:ascii="Times New Roman" w:hAnsi="Times New Roman" w:cs="Times New Roman"/>
          <w:sz w:val="24"/>
          <w:szCs w:val="24"/>
          <w:lang w:val="id-ID"/>
        </w:rPr>
        <w:t>l.</w:t>
      </w:r>
    </w:p>
    <w:p w:rsidR="00985835" w:rsidRPr="00985835" w:rsidRDefault="00985835" w:rsidP="00E8193F">
      <w:pPr>
        <w:pStyle w:val="ListParagraph"/>
        <w:numPr>
          <w:ilvl w:val="0"/>
          <w:numId w:val="13"/>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Jenis Retribusi Perizinan Tertentu adalah</w:t>
      </w:r>
      <w:r>
        <w:rPr>
          <w:rFonts w:ascii="Times New Roman" w:hAnsi="Times New Roman" w:cs="Times New Roman"/>
          <w:sz w:val="24"/>
          <w:szCs w:val="24"/>
          <w:lang w:val="id-ID"/>
        </w:rPr>
        <w:t xml:space="preserve"> (Pasal 19):</w:t>
      </w:r>
    </w:p>
    <w:p w:rsidR="00985835" w:rsidRPr="00985835" w:rsidRDefault="00985835" w:rsidP="00985835">
      <w:pPr>
        <w:pStyle w:val="ListParagraph"/>
        <w:numPr>
          <w:ilvl w:val="0"/>
          <w:numId w:val="17"/>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Izin Trayek</w:t>
      </w:r>
      <w:r>
        <w:rPr>
          <w:rFonts w:ascii="Times New Roman" w:hAnsi="Times New Roman" w:cs="Times New Roman"/>
          <w:sz w:val="24"/>
          <w:szCs w:val="24"/>
          <w:lang w:val="id-ID"/>
        </w:rPr>
        <w:t>;</w:t>
      </w:r>
    </w:p>
    <w:p w:rsidR="00985835" w:rsidRPr="00985835" w:rsidRDefault="00985835" w:rsidP="00985835">
      <w:pPr>
        <w:pStyle w:val="ListParagraph"/>
        <w:numPr>
          <w:ilvl w:val="0"/>
          <w:numId w:val="17"/>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Izin usaha Perikanan</w:t>
      </w:r>
      <w:r>
        <w:rPr>
          <w:rFonts w:ascii="Times New Roman" w:hAnsi="Times New Roman" w:cs="Times New Roman"/>
          <w:sz w:val="24"/>
          <w:szCs w:val="24"/>
          <w:lang w:val="id-ID"/>
        </w:rPr>
        <w:t>; dan</w:t>
      </w:r>
    </w:p>
    <w:p w:rsidR="00985835" w:rsidRPr="00985835" w:rsidRDefault="00985835" w:rsidP="00985835">
      <w:pPr>
        <w:pStyle w:val="ListParagraph"/>
        <w:numPr>
          <w:ilvl w:val="0"/>
          <w:numId w:val="17"/>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Perpanjangan IMTA</w:t>
      </w:r>
      <w:r>
        <w:rPr>
          <w:rFonts w:ascii="Times New Roman" w:hAnsi="Times New Roman" w:cs="Times New Roman"/>
          <w:sz w:val="24"/>
          <w:szCs w:val="24"/>
          <w:lang w:val="id-ID"/>
        </w:rPr>
        <w:t>.</w:t>
      </w:r>
    </w:p>
    <w:p w:rsidR="00985835" w:rsidRPr="00985835" w:rsidRDefault="00985835" w:rsidP="00E8193F">
      <w:pPr>
        <w:pStyle w:val="ListParagraph"/>
        <w:numPr>
          <w:ilvl w:val="0"/>
          <w:numId w:val="13"/>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Dengan nama Retribusi Izin Trayek, dipungut pembayaran atas pemberian izin kepada orang pribadi dan/atau Badan untuk melakukan kegiatan angkutan atau pelayanan jasa angkutan umum pada trayek te</w:t>
      </w:r>
      <w:r w:rsidR="007F289D">
        <w:rPr>
          <w:rFonts w:ascii="Times New Roman" w:hAnsi="Times New Roman" w:cs="Times New Roman"/>
          <w:sz w:val="24"/>
          <w:szCs w:val="24"/>
          <w:lang w:val="id-ID"/>
        </w:rPr>
        <w:t>tap dan teratur (Pasal 20 ayat (1)).</w:t>
      </w:r>
    </w:p>
    <w:p w:rsidR="00985835" w:rsidRPr="00985835" w:rsidRDefault="00985835" w:rsidP="00E8193F">
      <w:pPr>
        <w:pStyle w:val="ListParagraph"/>
        <w:numPr>
          <w:ilvl w:val="0"/>
          <w:numId w:val="13"/>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Objek Retribusi Izin Trayek adalah  pemberian  izin  kepada  orang  pribadi  atau  Badan  untuk menyediakan  pelayanan  angkutan  penumpang  umum  pada  suatu atau beberapa trayek tertentu</w:t>
      </w:r>
      <w:r w:rsidR="007F289D">
        <w:rPr>
          <w:rFonts w:ascii="Times New Roman" w:hAnsi="Times New Roman" w:cs="Times New Roman"/>
          <w:sz w:val="24"/>
          <w:szCs w:val="24"/>
          <w:lang w:val="id-ID"/>
        </w:rPr>
        <w:t xml:space="preserve"> (Pasal 20 ayat (2</w:t>
      </w:r>
      <w:bookmarkStart w:id="0" w:name="_GoBack"/>
      <w:bookmarkEnd w:id="0"/>
      <w:r w:rsidR="007F289D">
        <w:rPr>
          <w:rFonts w:ascii="Times New Roman" w:hAnsi="Times New Roman" w:cs="Times New Roman"/>
          <w:sz w:val="24"/>
          <w:szCs w:val="24"/>
          <w:lang w:val="id-ID"/>
        </w:rPr>
        <w:t>)).</w:t>
      </w:r>
    </w:p>
    <w:p w:rsidR="00985835" w:rsidRPr="00E8193F" w:rsidRDefault="00985835" w:rsidP="00E8193F">
      <w:pPr>
        <w:pStyle w:val="ListParagraph"/>
        <w:numPr>
          <w:ilvl w:val="0"/>
          <w:numId w:val="13"/>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Tingkat penggunaan jasa Retribusi Izin Trayek diukur berdasarkan jenis, banyaknya kendaraan, dan masa berlaku izin trayek. Prinsip tarif Retribusi Izin Trayek didasarkan  pada tujuan untuk menutup sebagian atau seluruh biaya penyelenggaraan pemberian izin, meliputi penerbitan dokumen izin, pengawasan di lapangan, penegakan hukum, penatausahaan dan biaya dampak negatif dari pemberian izin. Pembayaran   Retribusi   Izin Trayek dilakukan setiap 5 (lima) tahun sekali, dengan ketentuan dapat   dibayarkan setiap tahun pada saat perpanjangan kartu pengawasan</w:t>
      </w:r>
      <w:r w:rsidR="007F289D">
        <w:rPr>
          <w:rFonts w:ascii="Times New Roman" w:hAnsi="Times New Roman" w:cs="Times New Roman"/>
          <w:sz w:val="24"/>
          <w:szCs w:val="24"/>
          <w:lang w:val="id-ID"/>
        </w:rPr>
        <w:t xml:space="preserve"> (Pasal 21).</w:t>
      </w:r>
    </w:p>
    <w:p w:rsidR="00E8193F" w:rsidRPr="00E8193F" w:rsidRDefault="00E8193F" w:rsidP="00E8193F">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p>
    <w:p w:rsidR="00AC7909" w:rsidRPr="00AB4141" w:rsidRDefault="00AC7909" w:rsidP="00AC7909">
      <w:pPr>
        <w:pStyle w:val="ListParagraph"/>
        <w:shd w:val="clear" w:color="auto" w:fill="FFFFFF"/>
        <w:spacing w:after="0" w:line="360" w:lineRule="auto"/>
        <w:ind w:left="284"/>
        <w:jc w:val="both"/>
        <w:rPr>
          <w:rFonts w:ascii="Times New Roman" w:hAnsi="Times New Roman" w:cs="Times New Roman"/>
          <w:color w:val="222222"/>
          <w:sz w:val="24"/>
          <w:szCs w:val="24"/>
          <w:shd w:val="clear" w:color="auto" w:fill="FFFFFF"/>
          <w:lang w:val="id-ID"/>
        </w:rPr>
      </w:pPr>
    </w:p>
    <w:p w:rsidR="0054472B" w:rsidRDefault="0054472B" w:rsidP="00326F13">
      <w:pPr>
        <w:spacing w:after="0" w:line="360" w:lineRule="auto"/>
        <w:rPr>
          <w:rStyle w:val="apple-converted-space"/>
          <w:rFonts w:ascii="Times New Roman" w:hAnsi="Times New Roman" w:cs="Times New Roman"/>
          <w:color w:val="222222"/>
          <w:sz w:val="24"/>
          <w:szCs w:val="24"/>
          <w:shd w:val="clear" w:color="auto" w:fill="FFFFFF"/>
        </w:rPr>
      </w:pPr>
      <w:r w:rsidRPr="007B256B">
        <w:rPr>
          <w:rStyle w:val="apple-converted-space"/>
          <w:rFonts w:ascii="Times New Roman" w:hAnsi="Times New Roman" w:cs="Times New Roman"/>
          <w:color w:val="222222"/>
          <w:sz w:val="24"/>
          <w:szCs w:val="24"/>
          <w:shd w:val="clear" w:color="auto" w:fill="FFFFFF"/>
        </w:rPr>
        <w:t> </w:t>
      </w:r>
    </w:p>
    <w:p w:rsidR="00A56325" w:rsidRPr="00705C38" w:rsidRDefault="00A56325" w:rsidP="00326F13">
      <w:pPr>
        <w:spacing w:after="0"/>
        <w:rPr>
          <w:rFonts w:ascii="Times New Roman" w:hAnsi="Times New Roman" w:cs="Times New Roman"/>
          <w:color w:val="222222"/>
          <w:sz w:val="24"/>
          <w:szCs w:val="24"/>
          <w:shd w:val="clear" w:color="auto" w:fill="FFFFFF"/>
        </w:rPr>
      </w:pPr>
    </w:p>
    <w:sectPr w:rsidR="00A56325" w:rsidRPr="0070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0EB"/>
    <w:multiLevelType w:val="hybridMultilevel"/>
    <w:tmpl w:val="1F72D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A159D3"/>
    <w:multiLevelType w:val="hybridMultilevel"/>
    <w:tmpl w:val="1ECCC958"/>
    <w:lvl w:ilvl="0" w:tplc="EB28F6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7D34FA5"/>
    <w:multiLevelType w:val="hybridMultilevel"/>
    <w:tmpl w:val="02A4C054"/>
    <w:lvl w:ilvl="0" w:tplc="ED78C514">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D6043BB"/>
    <w:multiLevelType w:val="hybridMultilevel"/>
    <w:tmpl w:val="9C92F75C"/>
    <w:lvl w:ilvl="0" w:tplc="FDA65176">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03B12D5"/>
    <w:multiLevelType w:val="hybridMultilevel"/>
    <w:tmpl w:val="F20E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5"/>
  </w:num>
  <w:num w:numId="3">
    <w:abstractNumId w:val="4"/>
  </w:num>
  <w:num w:numId="4">
    <w:abstractNumId w:val="12"/>
  </w:num>
  <w:num w:numId="5">
    <w:abstractNumId w:val="7"/>
  </w:num>
  <w:num w:numId="6">
    <w:abstractNumId w:val="16"/>
  </w:num>
  <w:num w:numId="7">
    <w:abstractNumId w:val="9"/>
  </w:num>
  <w:num w:numId="8">
    <w:abstractNumId w:val="11"/>
  </w:num>
  <w:num w:numId="9">
    <w:abstractNumId w:val="1"/>
  </w:num>
  <w:num w:numId="10">
    <w:abstractNumId w:val="5"/>
  </w:num>
  <w:num w:numId="11">
    <w:abstractNumId w:val="14"/>
  </w:num>
  <w:num w:numId="12">
    <w:abstractNumId w:val="3"/>
  </w:num>
  <w:num w:numId="13">
    <w:abstractNumId w:val="0"/>
  </w:num>
  <w:num w:numId="14">
    <w:abstractNumId w:val="13"/>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811B8"/>
    <w:rsid w:val="00281B97"/>
    <w:rsid w:val="0029138E"/>
    <w:rsid w:val="00326F13"/>
    <w:rsid w:val="00412188"/>
    <w:rsid w:val="004B6831"/>
    <w:rsid w:val="0054472B"/>
    <w:rsid w:val="00620305"/>
    <w:rsid w:val="006A4281"/>
    <w:rsid w:val="00705C38"/>
    <w:rsid w:val="0075470A"/>
    <w:rsid w:val="007B256B"/>
    <w:rsid w:val="007F289D"/>
    <w:rsid w:val="00915C0A"/>
    <w:rsid w:val="00985835"/>
    <w:rsid w:val="00A209D7"/>
    <w:rsid w:val="00A56325"/>
    <w:rsid w:val="00A60E69"/>
    <w:rsid w:val="00A610AD"/>
    <w:rsid w:val="00AB4141"/>
    <w:rsid w:val="00AC7909"/>
    <w:rsid w:val="00B17A2B"/>
    <w:rsid w:val="00D24D4F"/>
    <w:rsid w:val="00DA6459"/>
    <w:rsid w:val="00E8193F"/>
    <w:rsid w:val="00E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1CC"/>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ntb.com/ado-ntb-banyak-kehilangan-pad-dari-taksi-onli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Baiq Laeli Eka Supriyatni</cp:lastModifiedBy>
  <cp:revision>5</cp:revision>
  <dcterms:created xsi:type="dcterms:W3CDTF">2020-12-16T10:15:00Z</dcterms:created>
  <dcterms:modified xsi:type="dcterms:W3CDTF">2020-12-16T14:07:00Z</dcterms:modified>
</cp:coreProperties>
</file>