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E9" w:rsidRDefault="009B5397" w:rsidP="006E3FE9">
      <w:pPr>
        <w:spacing w:after="120" w:line="280" w:lineRule="exact"/>
        <w:jc w:val="center"/>
        <w:rPr>
          <w:rFonts w:ascii="Times New Roman" w:hAnsi="Times New Roman" w:cs="Times New Roman"/>
          <w:b/>
          <w:sz w:val="28"/>
          <w:szCs w:val="28"/>
        </w:rPr>
      </w:pPr>
      <w:r w:rsidRPr="009B5397">
        <w:rPr>
          <w:rFonts w:ascii="Times New Roman" w:hAnsi="Times New Roman" w:cs="Times New Roman"/>
          <w:b/>
          <w:sz w:val="28"/>
          <w:szCs w:val="28"/>
        </w:rPr>
        <w:t>Bantuan Sosial Tunai Diduga Disunat</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9B5397" w:rsidP="00B5242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143.5pt">
                                  <v:imagedata r:id="rId5" o:title="Bansos Tunai"/>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non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" fillcolor="white [3201]" stroked="f" strokeweight=".5pt">
                <v:textbox style="mso-fit-shape-to-text:t">
                  <w:txbxContent>
                    <w:p w:rsidR="00B5242E" w:rsidRDefault="004900FD" w:rsidP="00B5242E">
                      <w:pPr>
                        <w:jc w:val="center"/>
                      </w:pPr>
                      <w:r>
                        <w:pict>
                          <v:shape id="_x0000_i1025" type="#_x0000_t75" style="width:264.75pt;height:143.5pt">
                            <v:imagedata r:id="rId6" o:title="Bansos Tunai"/>
                          </v:shape>
                        </w:pict>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4900FD" w:rsidRDefault="004900FD" w:rsidP="00B5242E">
      <w:pPr>
        <w:spacing w:before="240" w:after="120" w:line="280" w:lineRule="exact"/>
        <w:jc w:val="center"/>
        <w:rPr>
          <w:rFonts w:ascii="Times New Roman" w:hAnsi="Times New Roman" w:cs="Times New Roman"/>
          <w:i/>
          <w:sz w:val="24"/>
          <w:szCs w:val="28"/>
        </w:rPr>
      </w:pPr>
      <w:r>
        <w:rPr>
          <w:rFonts w:ascii="Times New Roman" w:hAnsi="Times New Roman" w:cs="Times New Roman"/>
          <w:i/>
          <w:sz w:val="24"/>
          <w:szCs w:val="28"/>
        </w:rPr>
        <w:t>jatimtimes.com</w:t>
      </w:r>
    </w:p>
    <w:p w:rsidR="00B5242E" w:rsidRDefault="00B5242E" w:rsidP="00B5242E">
      <w:pPr>
        <w:spacing w:after="120" w:line="280" w:lineRule="exact"/>
        <w:jc w:val="both"/>
        <w:rPr>
          <w:rFonts w:ascii="Times New Roman" w:hAnsi="Times New Roman" w:cs="Times New Roman"/>
          <w:b/>
          <w:sz w:val="24"/>
          <w:szCs w:val="28"/>
        </w:rPr>
      </w:pPr>
    </w:p>
    <w:p w:rsidR="009B5397" w:rsidRPr="009B5397" w:rsidRDefault="009B5397" w:rsidP="009B5397">
      <w:pPr>
        <w:spacing w:after="120" w:line="360" w:lineRule="auto"/>
        <w:jc w:val="both"/>
        <w:rPr>
          <w:rFonts w:ascii="Times New Roman" w:hAnsi="Times New Roman" w:cs="Times New Roman"/>
          <w:sz w:val="24"/>
          <w:szCs w:val="28"/>
        </w:rPr>
      </w:pPr>
      <w:r w:rsidRPr="009B5397">
        <w:rPr>
          <w:rFonts w:ascii="Times New Roman" w:hAnsi="Times New Roman" w:cs="Times New Roman"/>
          <w:b/>
          <w:sz w:val="24"/>
          <w:szCs w:val="28"/>
        </w:rPr>
        <w:t>Mataram (Suara NTB) –</w:t>
      </w:r>
      <w:r w:rsidRPr="009B5397">
        <w:rPr>
          <w:rFonts w:ascii="Times New Roman" w:hAnsi="Times New Roman" w:cs="Times New Roman"/>
          <w:sz w:val="24"/>
          <w:szCs w:val="28"/>
        </w:rPr>
        <w:t xml:space="preserve"> Seorang oknum kepala lingkungan di Kecamatan Cakranegara diduga memotong atau menyunat bantuan sosial tunai (BST) untuk warga. Pemotongan tersebut dengan dalih pemerataan.</w:t>
      </w:r>
    </w:p>
    <w:p w:rsidR="009B5397" w:rsidRPr="009B5397" w:rsidRDefault="009B5397" w:rsidP="009B5397">
      <w:pPr>
        <w:spacing w:after="120" w:line="360" w:lineRule="auto"/>
        <w:jc w:val="both"/>
        <w:rPr>
          <w:rFonts w:ascii="Times New Roman" w:hAnsi="Times New Roman" w:cs="Times New Roman"/>
          <w:sz w:val="24"/>
          <w:szCs w:val="28"/>
        </w:rPr>
      </w:pPr>
      <w:r w:rsidRPr="009B5397">
        <w:rPr>
          <w:rFonts w:ascii="Times New Roman" w:hAnsi="Times New Roman" w:cs="Times New Roman"/>
          <w:sz w:val="24"/>
          <w:szCs w:val="28"/>
        </w:rPr>
        <w:t>Kasus itu terjadi di Kelurahan Cakra Utara dan Cakra Timur. Modusnya, warga diminta menandatangani berita acara atau surat pernyataan menyetujui pemotongan tersebut.</w:t>
      </w:r>
    </w:p>
    <w:p w:rsidR="009B5397" w:rsidRPr="009B5397" w:rsidRDefault="009B5397" w:rsidP="009B5397">
      <w:pPr>
        <w:spacing w:after="120" w:line="360" w:lineRule="auto"/>
        <w:jc w:val="both"/>
        <w:rPr>
          <w:rFonts w:ascii="Times New Roman" w:hAnsi="Times New Roman" w:cs="Times New Roman"/>
          <w:sz w:val="24"/>
          <w:szCs w:val="28"/>
        </w:rPr>
      </w:pPr>
      <w:r w:rsidRPr="009B5397">
        <w:rPr>
          <w:rFonts w:ascii="Times New Roman" w:hAnsi="Times New Roman" w:cs="Times New Roman"/>
          <w:sz w:val="24"/>
          <w:szCs w:val="28"/>
        </w:rPr>
        <w:t>Anggota DPRD Kota Mataram, I Gusti Bagus Hari Sudana Putra mengaku menerima laporan bahwa BST yang diterima langsung oleh masyarakat diduga dipotong. Pemotongan uang Rp200 ribu dari total bantuan Rp600 ribu dengan dalih memberikan bantuan bagi warga yang tidak menerima bantuan jaring pengaman social (JPS). “Alasannya untuk pemerataan bagi warga yang belum dapat bantuan,” kata Gus Ari, sapaan akrabnya saat bertemu dengan Tim Gugus Tugas Penanganan Covid-19 Kota Mataram, Selasa, 21 Juli 2020.</w:t>
      </w:r>
    </w:p>
    <w:p w:rsidR="009B5397" w:rsidRPr="009B5397" w:rsidRDefault="009B5397" w:rsidP="009B5397">
      <w:pPr>
        <w:spacing w:after="120" w:line="360" w:lineRule="auto"/>
        <w:jc w:val="both"/>
        <w:rPr>
          <w:rFonts w:ascii="Times New Roman" w:hAnsi="Times New Roman" w:cs="Times New Roman"/>
          <w:sz w:val="24"/>
          <w:szCs w:val="28"/>
        </w:rPr>
      </w:pPr>
      <w:r w:rsidRPr="009B5397">
        <w:rPr>
          <w:rFonts w:ascii="Times New Roman" w:hAnsi="Times New Roman" w:cs="Times New Roman"/>
          <w:sz w:val="24"/>
          <w:szCs w:val="28"/>
        </w:rPr>
        <w:t>Politisi Partai Demokrat Daerah Pemilihan Cakranegara ini mempertegas apakah hal itu diperbolehkan secara aturan. Jika tidak, ia meminta Dinas Sosial maupun kecamatan untuk mengkroscek kasus tersebut. Dia mengkhawatirkan kasus serupa juga terjadi di lingkungan lainnya. Secara aturan BST diterima oleh warga tidak boleh dipotong dengan dalih apapun.</w:t>
      </w:r>
    </w:p>
    <w:p w:rsidR="009B5397" w:rsidRPr="009B5397" w:rsidRDefault="009B5397" w:rsidP="009B5397">
      <w:pPr>
        <w:spacing w:after="120" w:line="360" w:lineRule="auto"/>
        <w:jc w:val="both"/>
        <w:rPr>
          <w:rFonts w:ascii="Times New Roman" w:hAnsi="Times New Roman" w:cs="Times New Roman"/>
          <w:sz w:val="24"/>
          <w:szCs w:val="28"/>
        </w:rPr>
      </w:pPr>
      <w:r w:rsidRPr="009B5397">
        <w:rPr>
          <w:rFonts w:ascii="Times New Roman" w:hAnsi="Times New Roman" w:cs="Times New Roman"/>
          <w:sz w:val="24"/>
          <w:szCs w:val="28"/>
        </w:rPr>
        <w:t>“Saya sudah sampaikan ke pak camat dan pak lurah untuk dikroscek,” katanya.</w:t>
      </w:r>
    </w:p>
    <w:p w:rsidR="009B5397" w:rsidRPr="009B5397" w:rsidRDefault="009B5397" w:rsidP="009B5397">
      <w:pPr>
        <w:spacing w:after="120" w:line="360" w:lineRule="auto"/>
        <w:jc w:val="both"/>
        <w:rPr>
          <w:rFonts w:ascii="Times New Roman" w:hAnsi="Times New Roman" w:cs="Times New Roman"/>
          <w:sz w:val="24"/>
          <w:szCs w:val="28"/>
        </w:rPr>
      </w:pPr>
      <w:r w:rsidRPr="009B5397">
        <w:rPr>
          <w:rFonts w:ascii="Times New Roman" w:hAnsi="Times New Roman" w:cs="Times New Roman"/>
          <w:sz w:val="24"/>
          <w:szCs w:val="28"/>
        </w:rPr>
        <w:t>Terhadap pemotongan tersebut, Kepala Dinas Sosial Kota Mataram, Asnayati menegaskan, tindakan yang dilakukan oleh oknum kepala lingkungan melanggar hukum. Pihaknya mempersilakan kasus itu dilaporkan ke aparat penegak hukum (APH) untuk diproses. “Itu tidak boleh. Silakan dilaporkan saja ke kepolisian,” kata Asna.</w:t>
      </w:r>
    </w:p>
    <w:p w:rsidR="009B5397" w:rsidRPr="009B5397" w:rsidRDefault="009B5397" w:rsidP="009B5397">
      <w:pPr>
        <w:spacing w:after="120" w:line="360" w:lineRule="auto"/>
        <w:jc w:val="both"/>
        <w:rPr>
          <w:rFonts w:ascii="Times New Roman" w:hAnsi="Times New Roman" w:cs="Times New Roman"/>
          <w:sz w:val="24"/>
          <w:szCs w:val="28"/>
        </w:rPr>
      </w:pPr>
      <w:r w:rsidRPr="009B5397">
        <w:rPr>
          <w:rFonts w:ascii="Times New Roman" w:hAnsi="Times New Roman" w:cs="Times New Roman"/>
          <w:sz w:val="24"/>
          <w:szCs w:val="28"/>
        </w:rPr>
        <w:lastRenderedPageBreak/>
        <w:t>Ditegaskan, apapun dalih dari petugas kelurahan maupun kepala lingkungan tidak dibenarkan. Karena, BST sudah jelas petunjuk pencairan serta nominal yang diterima oleh masyarakat. Satu kepala keluarga (KK) memperoleh Rp600 ribu dan tidak boleh dikurangi serupiah pun. “Jangankan ini Rp200 ribu, sepeser pun tidak boleh dipotong,” katanya mengingatkan.</w:t>
      </w:r>
    </w:p>
    <w:p w:rsidR="006E3FE9" w:rsidRDefault="009B5397" w:rsidP="009B5397">
      <w:pPr>
        <w:spacing w:after="120" w:line="360" w:lineRule="auto"/>
        <w:jc w:val="both"/>
        <w:rPr>
          <w:rFonts w:ascii="Times New Roman" w:hAnsi="Times New Roman" w:cs="Times New Roman"/>
          <w:sz w:val="24"/>
          <w:szCs w:val="28"/>
        </w:rPr>
      </w:pPr>
      <w:r w:rsidRPr="009B5397">
        <w:rPr>
          <w:rFonts w:ascii="Times New Roman" w:hAnsi="Times New Roman" w:cs="Times New Roman"/>
          <w:sz w:val="24"/>
          <w:szCs w:val="28"/>
        </w:rPr>
        <w:t xml:space="preserve">Kejadian ini menurutnya adalah kasusistis. Tetapi menjadi masukan atau atensi dari pemerintah untuk memperketat pengawasan. Asna menambahkan, pengawasan secara langsung dilakukan oleh pendamping kelurahan. Mereka yang menginformasikan serta memberi pemahaman ke warga. </w:t>
      </w:r>
      <w:r w:rsidRPr="009B5397">
        <w:rPr>
          <w:rFonts w:ascii="Times New Roman" w:hAnsi="Times New Roman" w:cs="Times New Roman"/>
          <w:b/>
          <w:sz w:val="24"/>
          <w:szCs w:val="28"/>
        </w:rPr>
        <w:t>(cem)</w:t>
      </w:r>
    </w:p>
    <w:p w:rsidR="00AE1EFC" w:rsidRDefault="00AE1EFC"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AE1EFC" w:rsidRPr="00AE1EFC" w:rsidRDefault="009B5397" w:rsidP="009B5397">
      <w:pPr>
        <w:pStyle w:val="ListParagraph"/>
        <w:numPr>
          <w:ilvl w:val="0"/>
          <w:numId w:val="1"/>
        </w:numPr>
        <w:spacing w:after="120" w:line="360" w:lineRule="auto"/>
        <w:ind w:left="426" w:hanging="426"/>
        <w:jc w:val="both"/>
        <w:rPr>
          <w:rFonts w:ascii="Times New Roman" w:hAnsi="Times New Roman" w:cs="Times New Roman"/>
          <w:sz w:val="24"/>
          <w:szCs w:val="28"/>
          <w:lang w:val="id-ID"/>
        </w:rPr>
      </w:pPr>
      <w:hyperlink r:id="rId7" w:history="1">
        <w:r w:rsidRPr="00EE7367">
          <w:rPr>
            <w:rStyle w:val="Hyperlink"/>
          </w:rPr>
          <w:t>https://www.suarantb.com/bantuan-sosial-tunai-diduga-disunat/</w:t>
        </w:r>
      </w:hyperlink>
      <w:r>
        <w:rPr>
          <w:rStyle w:val="Hyperlink"/>
        </w:rPr>
        <w:t xml:space="preserve"> (23 Juli 2020)</w:t>
      </w:r>
    </w:p>
    <w:p w:rsidR="00B5242E" w:rsidRDefault="00B5242E"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09173E" w:rsidRDefault="006E3FE9" w:rsidP="0009173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Kitab Undang-Undang Hukum Pidana</w:t>
      </w:r>
      <w:r w:rsidR="0009173E">
        <w:rPr>
          <w:rFonts w:ascii="Times New Roman" w:hAnsi="Times New Roman" w:cs="Times New Roman"/>
          <w:sz w:val="24"/>
          <w:szCs w:val="24"/>
        </w:rPr>
        <w:t xml:space="preserve"> pasal 415 bahwa </w:t>
      </w:r>
      <w:r w:rsidR="0009173E" w:rsidRPr="0009173E">
        <w:rPr>
          <w:rFonts w:ascii="Times New Roman" w:hAnsi="Times New Roman" w:cs="Times New Roman"/>
          <w:sz w:val="24"/>
          <w:szCs w:val="24"/>
        </w:rPr>
        <w:t>Seorang pejabat atau orang lain yang ditugaskan menjalankan suatu jabatan umum</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terus- mener</w:t>
      </w:r>
      <w:r w:rsidR="0009173E">
        <w:rPr>
          <w:rFonts w:ascii="Times New Roman" w:hAnsi="Times New Roman" w:cs="Times New Roman"/>
          <w:sz w:val="24"/>
          <w:szCs w:val="24"/>
        </w:rPr>
        <w:t>us atau untuk sementara waktu, y</w:t>
      </w:r>
      <w:r w:rsidR="0009173E" w:rsidRPr="0009173E">
        <w:rPr>
          <w:rFonts w:ascii="Times New Roman" w:hAnsi="Times New Roman" w:cs="Times New Roman"/>
          <w:sz w:val="24"/>
          <w:szCs w:val="24"/>
        </w:rPr>
        <w:t xml:space="preserve">ang dengan sengaja </w:t>
      </w:r>
      <w:bookmarkStart w:id="0" w:name="_GoBack"/>
      <w:bookmarkEnd w:id="0"/>
      <w:r w:rsidR="0009173E" w:rsidRPr="0009173E">
        <w:rPr>
          <w:rFonts w:ascii="Times New Roman" w:hAnsi="Times New Roman" w:cs="Times New Roman"/>
          <w:sz w:val="24"/>
          <w:szCs w:val="24"/>
        </w:rPr>
        <w:t>menggelapkan</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uang atau surat berharga yang disimpan karena jabai</w:t>
      </w:r>
      <w:r w:rsidR="0009173E">
        <w:rPr>
          <w:rFonts w:ascii="Times New Roman" w:hAnsi="Times New Roman" w:cs="Times New Roman"/>
          <w:sz w:val="24"/>
          <w:szCs w:val="24"/>
        </w:rPr>
        <w:t>mnya, atau membiarkan uang atau surat berharga it</w:t>
      </w:r>
      <w:r w:rsidR="0009173E" w:rsidRPr="0009173E">
        <w:rPr>
          <w:rFonts w:ascii="Times New Roman" w:hAnsi="Times New Roman" w:cs="Times New Roman"/>
          <w:sz w:val="24"/>
          <w:szCs w:val="24"/>
        </w:rPr>
        <w:t>u diambil atau digelapkan oleh or</w:t>
      </w:r>
      <w:r w:rsidR="0009173E">
        <w:rPr>
          <w:rFonts w:ascii="Times New Roman" w:hAnsi="Times New Roman" w:cs="Times New Roman"/>
          <w:sz w:val="24"/>
          <w:szCs w:val="24"/>
        </w:rPr>
        <w:t xml:space="preserve">ang lain, atau menolong sebagai </w:t>
      </w:r>
      <w:r w:rsidR="0009173E" w:rsidRPr="0009173E">
        <w:rPr>
          <w:rFonts w:ascii="Times New Roman" w:hAnsi="Times New Roman" w:cs="Times New Roman"/>
          <w:sz w:val="24"/>
          <w:szCs w:val="24"/>
        </w:rPr>
        <w:t>pembantu dalam melakukan perbuatan tersebut, dianc</w:t>
      </w:r>
      <w:r w:rsidR="0009173E">
        <w:rPr>
          <w:rFonts w:ascii="Times New Roman" w:hAnsi="Times New Roman" w:cs="Times New Roman"/>
          <w:sz w:val="24"/>
          <w:szCs w:val="24"/>
        </w:rPr>
        <w:t>am dengan pidana penjara paling l</w:t>
      </w:r>
      <w:r w:rsidR="0009173E" w:rsidRPr="0009173E">
        <w:rPr>
          <w:rFonts w:ascii="Times New Roman" w:hAnsi="Times New Roman" w:cs="Times New Roman"/>
          <w:sz w:val="24"/>
          <w:szCs w:val="24"/>
        </w:rPr>
        <w:t>ama tujuh tahun.</w:t>
      </w:r>
    </w:p>
    <w:p w:rsidR="0009173E" w:rsidRDefault="0009173E" w:rsidP="0009173E">
      <w:pPr>
        <w:spacing w:after="120" w:line="360" w:lineRule="auto"/>
        <w:jc w:val="both"/>
        <w:rPr>
          <w:rFonts w:ascii="Times New Roman" w:hAnsi="Times New Roman" w:cs="Times New Roman"/>
          <w:sz w:val="24"/>
          <w:szCs w:val="24"/>
        </w:rPr>
      </w:pPr>
    </w:p>
    <w:p w:rsidR="007B3ED7" w:rsidRDefault="007B3ED7" w:rsidP="0009173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Undang-Undang Republik Indonesia Nomor 31 Tahun 1999 Tentang Pemb</w:t>
      </w:r>
      <w:r w:rsidR="0009173E">
        <w:rPr>
          <w:rFonts w:ascii="Times New Roman" w:hAnsi="Times New Roman" w:cs="Times New Roman"/>
          <w:sz w:val="24"/>
          <w:szCs w:val="24"/>
        </w:rPr>
        <w:t xml:space="preserve">erantasan Tindak Pidana Korupsi Pasal 8 bahwa </w:t>
      </w:r>
      <w:r w:rsidR="0009173E" w:rsidRPr="0009173E">
        <w:rPr>
          <w:rFonts w:ascii="Times New Roman" w:hAnsi="Times New Roman" w:cs="Times New Roman"/>
          <w:sz w:val="24"/>
          <w:szCs w:val="24"/>
        </w:rPr>
        <w:t>Setiap orang yang melakukan tindak pidana sebagaimana dimaksud dalam Pasal 415</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Kitab Undang-undang Hukum Pidana, dipidana dengan pidana penjara paling singkat 3</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(tiga) tahun dan paling lama 15 (lima belas) tahun dan denda paling sedikit Rp150.000.000,00 (seratus lima puluh juta rupiah) dan paling banyak 750.000.000,00 (tujuh</w:t>
      </w:r>
      <w:r w:rsidR="0009173E">
        <w:rPr>
          <w:rFonts w:ascii="Times New Roman" w:hAnsi="Times New Roman" w:cs="Times New Roman"/>
          <w:sz w:val="24"/>
          <w:szCs w:val="24"/>
        </w:rPr>
        <w:t xml:space="preserve"> </w:t>
      </w:r>
      <w:r w:rsidR="0009173E" w:rsidRPr="0009173E">
        <w:rPr>
          <w:rFonts w:ascii="Times New Roman" w:hAnsi="Times New Roman" w:cs="Times New Roman"/>
          <w:sz w:val="24"/>
          <w:szCs w:val="24"/>
        </w:rPr>
        <w:t>ratus lima puluh juta rupiah).</w:t>
      </w:r>
    </w:p>
    <w:p w:rsidR="007B3ED7" w:rsidRDefault="007B3ED7" w:rsidP="00EA792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Keputusan Menteri Sosial Nomor 54/HUK/2020 tentang </w:t>
      </w:r>
      <w:r w:rsidRPr="00FE27E8">
        <w:rPr>
          <w:rFonts w:ascii="Times New Roman" w:hAnsi="Times New Roman" w:cs="Times New Roman"/>
          <w:sz w:val="24"/>
          <w:szCs w:val="24"/>
        </w:rPr>
        <w:t>Pelaksanaan Bantuan Sosial Sembako Dan Bantuan Sosial Tunai</w:t>
      </w:r>
      <w:r>
        <w:rPr>
          <w:rFonts w:ascii="Times New Roman" w:hAnsi="Times New Roman" w:cs="Times New Roman"/>
          <w:sz w:val="24"/>
          <w:szCs w:val="24"/>
        </w:rPr>
        <w:t xml:space="preserve"> </w:t>
      </w:r>
      <w:r w:rsidRPr="00FE27E8">
        <w:rPr>
          <w:rFonts w:ascii="Times New Roman" w:hAnsi="Times New Roman" w:cs="Times New Roman"/>
          <w:sz w:val="24"/>
          <w:szCs w:val="24"/>
        </w:rPr>
        <w:t>Dalam Penanganan Dampak Corona Virus Disease 2019 (COVID-19)</w:t>
      </w:r>
      <w:r>
        <w:rPr>
          <w:rFonts w:ascii="Times New Roman" w:hAnsi="Times New Roman" w:cs="Times New Roman"/>
          <w:sz w:val="24"/>
          <w:szCs w:val="24"/>
        </w:rPr>
        <w:t xml:space="preserve"> yang menjelaskan :</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DIKTUM KEEMPAT bahwa Bantuan Sosial Sembako dilaksanakan di wilayah:</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Khusus Ibu Kota Jakarta;</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Kabupaten Bogor, meliputi Kecamatan Cibinong, Kecamatan Gunung Putri, Kecamatan Klapanunggal, Kecamatan Bojong Gede, Kecamatan Jonggol, Kecamatan Cileungsi, dan Kecamatan Citeureup;</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Depok;</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w:t>
      </w:r>
    </w:p>
    <w:p w:rsidR="00FE27E8" w:rsidRP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Tangerang Selatan; dan</w:t>
      </w:r>
    </w:p>
    <w:p w:rsidR="00FE27E8" w:rsidRDefault="00FE27E8" w:rsidP="00FE27E8">
      <w:pPr>
        <w:pStyle w:val="ListParagraph"/>
        <w:numPr>
          <w:ilvl w:val="0"/>
          <w:numId w:val="13"/>
        </w:numPr>
        <w:spacing w:after="120" w:line="360" w:lineRule="auto"/>
        <w:ind w:left="709" w:hanging="283"/>
        <w:jc w:val="both"/>
        <w:rPr>
          <w:rFonts w:ascii="Times New Roman" w:hAnsi="Times New Roman" w:cs="Times New Roman"/>
          <w:sz w:val="24"/>
          <w:szCs w:val="24"/>
        </w:rPr>
      </w:pPr>
      <w:r w:rsidRPr="00FE27E8">
        <w:rPr>
          <w:rFonts w:ascii="Times New Roman" w:hAnsi="Times New Roman" w:cs="Times New Roman"/>
          <w:sz w:val="24"/>
          <w:szCs w:val="24"/>
        </w:rPr>
        <w:t>Pemerintah Daerah Kota Bekasi.</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KELIMA bahwa </w:t>
      </w:r>
      <w:r w:rsidRPr="00FE27E8">
        <w:rPr>
          <w:rFonts w:ascii="Times New Roman" w:hAnsi="Times New Roman" w:cs="Times New Roman"/>
          <w:sz w:val="24"/>
          <w:szCs w:val="24"/>
        </w:rPr>
        <w:t>Bantuan sosial tun</w:t>
      </w:r>
      <w:r>
        <w:rPr>
          <w:rFonts w:ascii="Times New Roman" w:hAnsi="Times New Roman" w:cs="Times New Roman"/>
          <w:sz w:val="24"/>
          <w:szCs w:val="24"/>
        </w:rPr>
        <w:t xml:space="preserve">ai dilaksanakan di luar wilayah </w:t>
      </w:r>
      <w:r w:rsidRPr="00FE27E8">
        <w:rPr>
          <w:rFonts w:ascii="Times New Roman" w:hAnsi="Times New Roman" w:cs="Times New Roman"/>
          <w:sz w:val="24"/>
          <w:szCs w:val="24"/>
        </w:rPr>
        <w:t>sebagaimana dimaksud dalam Diktum KEEMPAT.</w:t>
      </w:r>
    </w:p>
    <w:p w:rsidR="00FE27E8" w:rsidRDefault="00FE27E8" w:rsidP="00FE27E8">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DIKTUM KEENAM bahwa </w:t>
      </w:r>
      <w:r w:rsidRPr="00FE27E8">
        <w:rPr>
          <w:rFonts w:ascii="Times New Roman" w:hAnsi="Times New Roman" w:cs="Times New Roman"/>
          <w:sz w:val="24"/>
          <w:szCs w:val="24"/>
        </w:rPr>
        <w:t>Petunjuk teknis pelaksanaan bantuan sosial sembako dan bantuan sosial tunai ditetapkan oleh Direktur Jenderal Perlindungan dan Jaminan Sosial dan Direktur Jenderal Penanganan Fakir Miskin.</w:t>
      </w:r>
    </w:p>
    <w:p w:rsidR="00FE27E8" w:rsidRDefault="00FE27E8" w:rsidP="00FE27E8">
      <w:pPr>
        <w:spacing w:after="120" w:line="360" w:lineRule="auto"/>
        <w:jc w:val="both"/>
        <w:rPr>
          <w:rFonts w:ascii="Times New Roman" w:hAnsi="Times New Roman" w:cs="Times New Roman"/>
          <w:sz w:val="24"/>
          <w:szCs w:val="24"/>
        </w:rPr>
      </w:pPr>
    </w:p>
    <w:p w:rsidR="00FE27E8" w:rsidRDefault="00FE27E8" w:rsidP="00FE27E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Keputusan Direktur Jenderal Penanganan Fakir Miskin Nomor 18/6/SK/HK.02.02/4/2020 tentang Petunjuk Teknis Penyaluran Bantuan Sosial Tunai dalam Penanganan Dampak Corona Virus Disease 2019 (COVID-19)</w:t>
      </w:r>
      <w:r w:rsidR="00244691">
        <w:rPr>
          <w:rFonts w:ascii="Times New Roman" w:hAnsi="Times New Roman" w:cs="Times New Roman"/>
          <w:sz w:val="24"/>
          <w:szCs w:val="24"/>
        </w:rPr>
        <w:t xml:space="preserve"> yang menjelaskan:</w:t>
      </w:r>
    </w:p>
    <w:p w:rsidR="00244691" w:rsidRDefault="00244691" w:rsidP="00244691">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 Pelaksanaan Bantuan Sosial Tunai :</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Besaran Nilai Bantuan Sosial Tunai sejumlah Rp600.000,00 (enam ratus ribu rupiah) per keluarga per bulan.</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Penyaluran Bantuan Sosial Tunai dilakukan dengan pencairan dana BST melalui pembayaran langsung (LS) dari Kas Negara ke rekening Bank dan/atau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Bank Penyalur dilakukan dengan cara pemindahbukuan dari rekening Bank Penyalur ke rekening KPM Bantuan Sosial Tunai.</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Pencairan dana BST yang dilakukan melalui pembayaran langsung (LS) dari Kas Negara ke rekening Pos Penyalur dilakukan dengan cara pemberian uang tunai dari rekening Pos Penyalur kepada KPM Bantuan Sosial Tunai oleh petugas Pos Penyalur.</w:t>
      </w:r>
    </w:p>
    <w:p w:rsidR="00244691" w:rsidRDefault="00244691" w:rsidP="00244691">
      <w:pPr>
        <w:pStyle w:val="ListParagraph"/>
        <w:numPr>
          <w:ilvl w:val="0"/>
          <w:numId w:val="14"/>
        </w:numPr>
        <w:spacing w:after="12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Dalam penyaluran BST kepada KPM Bantuan Sosial Tunai dilaksanakan oleh Bank/Pos Penyalur dapa</w:t>
      </w:r>
      <w:r w:rsidR="00B75544">
        <w:rPr>
          <w:rFonts w:ascii="Times New Roman" w:hAnsi="Times New Roman" w:cs="Times New Roman"/>
          <w:sz w:val="24"/>
          <w:szCs w:val="24"/>
        </w:rPr>
        <w:t>t dibantu oleh Pemerintah Daerah Provinsi dan/atau Pemerintah Daerah Kota/Kabupaten dengan memperhatikan protokol kesehatan.</w:t>
      </w:r>
    </w:p>
    <w:p w:rsidR="00B75544" w:rsidRDefault="00244691"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BAB III Pertanggungjawaban dan P</w:t>
      </w:r>
      <w:r w:rsidR="00B75544">
        <w:rPr>
          <w:rFonts w:ascii="Times New Roman" w:hAnsi="Times New Roman" w:cs="Times New Roman"/>
          <w:sz w:val="24"/>
          <w:szCs w:val="24"/>
        </w:rPr>
        <w:t xml:space="preserve">engawasan Bantuan Sosial Tunai bahwa </w:t>
      </w:r>
      <w:r w:rsidRPr="00B75544">
        <w:rPr>
          <w:rFonts w:ascii="Times New Roman" w:hAnsi="Times New Roman" w:cs="Times New Roman"/>
          <w:sz w:val="24"/>
          <w:szCs w:val="24"/>
        </w:rPr>
        <w:t xml:space="preserve">Pengawasan penyaluran Bantuan Sosial Tunai dilaksanakan </w:t>
      </w:r>
      <w:r w:rsidR="00B75544" w:rsidRPr="00B75544">
        <w:rPr>
          <w:rFonts w:ascii="Times New Roman" w:hAnsi="Times New Roman" w:cs="Times New Roman"/>
          <w:sz w:val="24"/>
          <w:szCs w:val="24"/>
        </w:rPr>
        <w:t>oleh APIP sesuai dengan ketentuan peraturan perundang-undangan yang meliputi:</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Pencapaian target realisasi BST kepada KPM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Kesesuaian BST dengan peruntukan dan ketepatan sasaran pemberian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Akuntabilitas pertanggungjawaban penyusunan laporan penyaluran BST;</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Transparansi penyaluran BST; dan</w:t>
      </w:r>
    </w:p>
    <w:p w:rsidR="00B75544" w:rsidRDefault="00B75544" w:rsidP="00B75544">
      <w:pPr>
        <w:pStyle w:val="ListParagraph"/>
        <w:numPr>
          <w:ilvl w:val="0"/>
          <w:numId w:val="1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Pelaksanaan tanggung jawab pemerintah daerah provinsi, pemerintah daerah kabupaten/kota, unit kerja eselon II di Direktorat Jenderal Penanganan Fakir Miskin yang menangani BST, Pusat Data dan Informasi Kesejahteraan Sosial, serta Bank/Pos penyalur dalam penyaluran BST.</w:t>
      </w:r>
    </w:p>
    <w:p w:rsidR="00B75544" w:rsidRPr="00B75544" w:rsidRDefault="00B75544" w:rsidP="00B75544">
      <w:pPr>
        <w:pStyle w:val="ListParagraph"/>
        <w:numPr>
          <w:ilvl w:val="0"/>
          <w:numId w:val="12"/>
        </w:numPr>
        <w:spacing w:after="12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BAB III </w:t>
      </w:r>
      <w:r w:rsidRPr="00B75544">
        <w:rPr>
          <w:rFonts w:ascii="Times New Roman" w:hAnsi="Times New Roman" w:cs="Times New Roman"/>
          <w:sz w:val="24"/>
          <w:szCs w:val="24"/>
        </w:rPr>
        <w:t>Pertanggungjawaban dan Pengawasan Bantuan Sosial Tunai bahwa</w:t>
      </w:r>
      <w:r>
        <w:rPr>
          <w:rFonts w:ascii="Times New Roman" w:hAnsi="Times New Roman" w:cs="Times New Roman"/>
          <w:sz w:val="24"/>
          <w:szCs w:val="24"/>
        </w:rPr>
        <w:t xml:space="preserve"> APIP melaporkan hasil pengawasan kepada pihak yang berkepentingan sesuai dengan ketentuan perundang-undangan. APIP dapat melakukan koordinasi dengan pemerintah daerah provinsi, pemerintah daerah kabupaten/kota, unit kerja eselon II di Direktorat Jenderal Penanganan Fakir Miskin yang menangani BST, Pusat Data dan Informasi Kesejahteraan Sosial, serta Bank/Pos penyalur dalam penyaluran BST dalam rangka pengawasan penyaluran BST.</w:t>
      </w:r>
    </w:p>
    <w:sectPr w:rsidR="00B75544" w:rsidRPr="00B75544"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36B15A4"/>
    <w:multiLevelType w:val="hybridMultilevel"/>
    <w:tmpl w:val="DC04280C"/>
    <w:lvl w:ilvl="0" w:tplc="BD20E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438C3"/>
    <w:multiLevelType w:val="hybridMultilevel"/>
    <w:tmpl w:val="584CB6BA"/>
    <w:lvl w:ilvl="0" w:tplc="8AD22C0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3A312EEB"/>
    <w:multiLevelType w:val="hybridMultilevel"/>
    <w:tmpl w:val="AC6C25DC"/>
    <w:lvl w:ilvl="0" w:tplc="B20887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14372CE"/>
    <w:multiLevelType w:val="hybridMultilevel"/>
    <w:tmpl w:val="622C933A"/>
    <w:lvl w:ilvl="0" w:tplc="371A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51E32C41"/>
    <w:multiLevelType w:val="hybridMultilevel"/>
    <w:tmpl w:val="8DCAFAB2"/>
    <w:lvl w:ilvl="0" w:tplc="758E35F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CF03637"/>
    <w:multiLevelType w:val="hybridMultilevel"/>
    <w:tmpl w:val="40601636"/>
    <w:lvl w:ilvl="0" w:tplc="234ED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
  </w:num>
  <w:num w:numId="4">
    <w:abstractNumId w:val="3"/>
  </w:num>
  <w:num w:numId="5">
    <w:abstractNumId w:val="1"/>
  </w:num>
  <w:num w:numId="6">
    <w:abstractNumId w:val="14"/>
  </w:num>
  <w:num w:numId="7">
    <w:abstractNumId w:val="9"/>
  </w:num>
  <w:num w:numId="8">
    <w:abstractNumId w:val="12"/>
  </w:num>
  <w:num w:numId="9">
    <w:abstractNumId w:val="7"/>
  </w:num>
  <w:num w:numId="10">
    <w:abstractNumId w:val="8"/>
  </w:num>
  <w:num w:numId="11">
    <w:abstractNumId w:val="6"/>
  </w:num>
  <w:num w:numId="12">
    <w:abstractNumId w:val="4"/>
  </w:num>
  <w:num w:numId="13">
    <w:abstractNumId w:val="11"/>
  </w:num>
  <w:num w:numId="14">
    <w:abstractNumId w:val="15"/>
  </w:num>
  <w:num w:numId="15">
    <w:abstractNumId w:val="10"/>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9173E"/>
    <w:rsid w:val="000C2FAE"/>
    <w:rsid w:val="00145538"/>
    <w:rsid w:val="00244691"/>
    <w:rsid w:val="0045081C"/>
    <w:rsid w:val="004900FD"/>
    <w:rsid w:val="004F5ECD"/>
    <w:rsid w:val="006E3FE9"/>
    <w:rsid w:val="007B3ED7"/>
    <w:rsid w:val="009B5397"/>
    <w:rsid w:val="00AE1EFC"/>
    <w:rsid w:val="00B5242E"/>
    <w:rsid w:val="00B75544"/>
    <w:rsid w:val="00EA7928"/>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arantb.com/bantuan-sosial-tunai-diduga-disu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BPK NTB</cp:lastModifiedBy>
  <cp:revision>10</cp:revision>
  <dcterms:created xsi:type="dcterms:W3CDTF">2020-06-25T02:24:00Z</dcterms:created>
  <dcterms:modified xsi:type="dcterms:W3CDTF">2021-01-01T09:50:00Z</dcterms:modified>
</cp:coreProperties>
</file>