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C521" w14:textId="2A5C92D7" w:rsidR="00865613" w:rsidRDefault="002E07C4" w:rsidP="00865613">
      <w:pPr>
        <w:autoSpaceDE w:val="0"/>
        <w:autoSpaceDN w:val="0"/>
        <w:adjustRightInd w:val="0"/>
        <w:spacing w:after="0" w:line="276" w:lineRule="auto"/>
        <w:jc w:val="center"/>
        <w:rPr>
          <w:rFonts w:ascii="Times New Roman" w:hAnsi="Times New Roman" w:cs="Times New Roman"/>
          <w:b/>
          <w:sz w:val="28"/>
          <w:szCs w:val="28"/>
          <w:lang w:val="id-ID"/>
        </w:rPr>
      </w:pPr>
      <w:r w:rsidRPr="00825152">
        <w:rPr>
          <w:rFonts w:ascii="Times New Roman" w:hAnsi="Times New Roman" w:cs="Times New Roman"/>
          <w:b/>
          <w:sz w:val="28"/>
          <w:szCs w:val="28"/>
          <w:lang w:val="id"/>
        </w:rPr>
        <w:t>TERKAIT LONGSOR SENGGIGI, POLISI WARNING DISPAR LOBAR</w:t>
      </w:r>
      <w:r w:rsidR="00D63FBB" w:rsidRPr="00D63FBB">
        <w:rPr>
          <w:rFonts w:ascii="Calibri" w:hAnsi="Calibri" w:cs="Calibri"/>
          <w:noProof/>
          <w:sz w:val="28"/>
          <w:szCs w:val="28"/>
        </w:rPr>
        <w:t xml:space="preserve"> </w:t>
      </w:r>
      <w:r w:rsidR="00D63FBB">
        <w:rPr>
          <w:rFonts w:ascii="Calibri" w:hAnsi="Calibri" w:cs="Calibri"/>
          <w:noProof/>
        </w:rPr>
        <w:drawing>
          <wp:inline distT="0" distB="0" distL="0" distR="0" wp14:anchorId="769F935E" wp14:editId="62E5818C">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1765662" w14:textId="77777777" w:rsidR="008C0FE9" w:rsidRPr="00865613" w:rsidRDefault="00EF629F" w:rsidP="00865613">
      <w:pPr>
        <w:autoSpaceDE w:val="0"/>
        <w:autoSpaceDN w:val="0"/>
        <w:adjustRightInd w:val="0"/>
        <w:spacing w:after="0" w:line="276" w:lineRule="auto"/>
        <w:jc w:val="center"/>
        <w:rPr>
          <w:rFonts w:ascii="Times New Roman" w:hAnsi="Times New Roman" w:cs="Times New Roman"/>
          <w:b/>
          <w:i/>
          <w:lang w:val="id-ID"/>
        </w:rPr>
      </w:pPr>
      <w:r>
        <w:rPr>
          <w:rFonts w:ascii="Times New Roman" w:hAnsi="Times New Roman" w:cs="Times New Roman"/>
          <w:b/>
          <w:i/>
          <w:lang w:val="id-ID"/>
        </w:rPr>
        <w:t>Titiknol.co.id</w:t>
      </w:r>
    </w:p>
    <w:p w14:paraId="13DCCDD0" w14:textId="77777777"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14:paraId="18D060BC"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sidRPr="00825152">
        <w:rPr>
          <w:rFonts w:ascii="Times New Roman" w:hAnsi="Times New Roman" w:cs="Times New Roman"/>
          <w:b/>
          <w:sz w:val="24"/>
          <w:szCs w:val="24"/>
          <w:lang w:val="id"/>
        </w:rPr>
        <w:t>MATARAM</w:t>
      </w:r>
      <w:r>
        <w:rPr>
          <w:rFonts w:ascii="Times New Roman" w:hAnsi="Times New Roman" w:cs="Times New Roman"/>
          <w:sz w:val="24"/>
          <w:szCs w:val="24"/>
          <w:lang w:val="id"/>
        </w:rPr>
        <w:t>-Longsor pada proyek penataan kawasan wisata Senggigi, Lombok Barat (Lobar) menjadi atensi polisi. Ditreskrimsus Polda NTB kembali menurunkan tim, pascalongsor yang terjadi pada Deram Point, dekat Hotel Pasific, Senin (22/2/2021) lalu. ”Tim sekarang masih bekerja mengumpulkan bukti dan mengklarifikasi kembali semua pihak,” kata Dirreskrimsus Polda NTB Kombes Pol I Gusti Putu Gede Ekawana Putra, Rabu (24/2/2021).</w:t>
      </w:r>
    </w:p>
    <w:p w14:paraId="0D1BBA4E"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Mereka yang diklarifikasi antara lain rekanan proyek, pejabat pembuat komitmen (PPK), dan kuasa pengguna anggaran (KPA). “Kita masih dalami semuanya,” sambung Ekawana.</w:t>
      </w:r>
    </w:p>
    <w:p w14:paraId="7BC70A0A"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Saat ini, Polda NTB telah menyita data dan dokumen proyek tersebut. Dokumen tersebut masih dipelajari penyelidik. ”Temuan awal memang salah perencanaannya,” kata Ekawana.</w:t>
      </w:r>
    </w:p>
    <w:p w14:paraId="1DD91B52"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Diketahui, tiga dari lima titik proyek penataan kawasan wisata Senggigi mengalami longsor. Pertama, Senggigi View ambruk karena longsor Minggu (31/1). Sepekan berikutnya rest area di kawasan Kafe Alberto yang rontok Sabtu (6/2). Terakhir, rest area Dream Point rusak karena longsor, Senin (22/2) lalu.</w:t>
      </w:r>
    </w:p>
    <w:p w14:paraId="2CF9CBAB"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yang proyek (di dekat) Kafe Alberto dan Senggigi View itu ditangani Polres Lobar. Sedangkan, rest area yang baru longsor (Dream Point) kita yang selidiki,” kata Ekawana.</w:t>
      </w:r>
    </w:p>
    <w:p w14:paraId="06071F6A"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Ditreskrimsus Polda NTB masih mengusut dua item proyek revitalisasi tersebut. Yakni, penataan kawasan Makam Batulayar dan penataan kawasan Pura Batu Bolong. ”Jadi, tiga proyek revitalisasi di sana (Senggigi) yang kita usut,” jelasnya.</w:t>
      </w:r>
    </w:p>
    <w:p w14:paraId="5A4CD323"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Berdasarkan data LPSE, total anggaran lima item proyek revitalisasi tersebut Rp 9,8 miliar. Dengan rincian penataan rest area kawasan Hotel Pasific (Dream Point) Rp 1,7 miliar; penataan dekat Kafe Alberto Rp 1,8 miliar; Senggigi View Rp 2,6 miliar; Makam Batulayar Rp 2,6 miliar; dan Pura Batu Bolong Rp 1,2 miliar. ”Jadi ada lima item proyek penataan kawasan wisata Senggigi,” bebernya.</w:t>
      </w:r>
    </w:p>
    <w:p w14:paraId="504CD74E"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Penyelidik belum menyimpulkan apakah ada perbuatan melawan hukum dalam proyek tersebut. Karena sampai saat ini proyek itu masih dalam masa pemeliharaan</w:t>
      </w:r>
    </w:p>
    <w:p w14:paraId="2EECB343" w14:textId="77777777" w:rsidR="00825152"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Karena masih dalam masa pemeliharaan, Ekawana memberikan peringatan kepada Dinas Pariwisata (Dispar) Lobar dan rekanan proyek untuk memperbaiki tiga proyek yang longsor. Jika tidak, penyelidikan bakal berlanjut. ”Kita tunggu hingga masa pemeliharaan berakhir. Kalau tidak dikerjakan penyelidikan bakal terus kita lanjutkan,” tegasnya.</w:t>
      </w:r>
    </w:p>
    <w:p w14:paraId="49A5E8B5" w14:textId="77777777" w:rsidR="009F0630" w:rsidRDefault="00825152" w:rsidP="008251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Tetapi, saat perbaikan nanti, penyelidik bakal tetap mengawasi. Pengawasannya bakal melibatkan ahli dari Balai Jalan. ”Pekerjaannya harus sesuai dengan petunjuk ahli. Jangan sampai pekerjaannya asal-asalan yang mengakibatkan jalan tersebut kembali longsor,” tandasnya. (arl/r1)</w:t>
      </w:r>
    </w:p>
    <w:p w14:paraId="7CDD39A6"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14:paraId="4DF98399" w14:textId="77777777"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825152">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14:paraId="783A6CCE" w14:textId="77777777" w:rsidR="00865613" w:rsidRDefault="00825152"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Lombok Post</w:t>
      </w:r>
      <w:r w:rsidR="00865613">
        <w:rPr>
          <w:rFonts w:ascii="Times New Roman" w:hAnsi="Times New Roman" w:cs="Times New Roman"/>
          <w:sz w:val="24"/>
          <w:szCs w:val="24"/>
          <w:lang w:val="id-ID"/>
        </w:rPr>
        <w:t xml:space="preserve">, </w:t>
      </w:r>
      <w:r w:rsidRPr="00825152">
        <w:rPr>
          <w:rFonts w:ascii="Times New Roman" w:hAnsi="Times New Roman" w:cs="Times New Roman"/>
          <w:i/>
          <w:sz w:val="24"/>
          <w:szCs w:val="24"/>
          <w:lang w:val="id"/>
        </w:rPr>
        <w:t>Terkait Longsor Senggigi, Polisi Warning Dispar Lobar</w:t>
      </w:r>
      <w:r w:rsidR="00865613">
        <w:rPr>
          <w:rFonts w:ascii="Times New Roman" w:hAnsi="Times New Roman" w:cs="Times New Roman"/>
          <w:sz w:val="24"/>
          <w:szCs w:val="24"/>
          <w:lang w:val="id-ID"/>
        </w:rPr>
        <w:t xml:space="preserve">, </w:t>
      </w:r>
      <w:r>
        <w:rPr>
          <w:rFonts w:ascii="Times New Roman" w:hAnsi="Times New Roman" w:cs="Times New Roman"/>
          <w:sz w:val="24"/>
          <w:szCs w:val="24"/>
          <w:lang w:val="id-ID"/>
        </w:rPr>
        <w:t>Kamis</w:t>
      </w:r>
      <w:r w:rsidR="009A5FDC">
        <w:rPr>
          <w:rFonts w:ascii="Times New Roman" w:hAnsi="Times New Roman" w:cs="Times New Roman"/>
          <w:sz w:val="24"/>
          <w:szCs w:val="24"/>
          <w:lang w:val="id-ID"/>
        </w:rPr>
        <w:t xml:space="preserve">, </w:t>
      </w:r>
      <w:r>
        <w:rPr>
          <w:rFonts w:ascii="Times New Roman" w:hAnsi="Times New Roman" w:cs="Times New Roman"/>
          <w:sz w:val="24"/>
          <w:szCs w:val="24"/>
          <w:lang w:val="id-ID"/>
        </w:rPr>
        <w:t>25 Februari 2021</w:t>
      </w:r>
      <w:r w:rsidR="00865613">
        <w:rPr>
          <w:rFonts w:ascii="Times New Roman" w:hAnsi="Times New Roman" w:cs="Times New Roman"/>
          <w:sz w:val="24"/>
          <w:szCs w:val="24"/>
          <w:lang w:val="id-ID"/>
        </w:rPr>
        <w:t>.</w:t>
      </w:r>
    </w:p>
    <w:p w14:paraId="746D0E13" w14:textId="77777777" w:rsidR="008C0FE9" w:rsidRPr="009F0630" w:rsidRDefault="00301A33" w:rsidP="00825152">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9" w:history="1">
        <w:r w:rsidR="00825152" w:rsidRPr="00AF2A26">
          <w:rPr>
            <w:rStyle w:val="Hyperlink"/>
          </w:rPr>
          <w:t xml:space="preserve"> </w:t>
        </w:r>
        <w:r w:rsidR="00825152" w:rsidRPr="00AF2A26">
          <w:rPr>
            <w:rStyle w:val="Hyperlink"/>
            <w:rFonts w:ascii="Times New Roman" w:hAnsi="Times New Roman" w:cs="Times New Roman"/>
            <w:sz w:val="24"/>
            <w:szCs w:val="24"/>
            <w:lang w:val="id"/>
          </w:rPr>
          <w:t>https://lombokpost.jawapos.com/giri-menang/25/02/2021/terkait-longsor-senggigi-polisi-</w:t>
        </w:r>
        <w:r w:rsidR="00825152" w:rsidRPr="00825152">
          <w:rPr>
            <w:lang w:val="id-ID"/>
          </w:rPr>
          <w:t>warning</w:t>
        </w:r>
        <w:r w:rsidR="00825152" w:rsidRPr="00AF2A26">
          <w:rPr>
            <w:rStyle w:val="Hyperlink"/>
            <w:rFonts w:ascii="Times New Roman" w:hAnsi="Times New Roman" w:cs="Times New Roman"/>
            <w:sz w:val="24"/>
            <w:szCs w:val="24"/>
            <w:lang w:val="id"/>
          </w:rPr>
          <w:t>-dispar-lobar/</w:t>
        </w:r>
      </w:hyperlink>
    </w:p>
    <w:p w14:paraId="16C1D6D5" w14:textId="77777777" w:rsidR="008C0FE9" w:rsidRDefault="008C0FE9">
      <w:pPr>
        <w:rPr>
          <w:rFonts w:ascii="Times New Roman" w:hAnsi="Times New Roman" w:cs="Times New Roman"/>
          <w:sz w:val="24"/>
          <w:szCs w:val="24"/>
          <w:lang w:val="id-ID"/>
        </w:rPr>
      </w:pPr>
    </w:p>
    <w:p w14:paraId="255B5A75" w14:textId="77777777"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14:paraId="3CAA135F" w14:textId="77777777" w:rsidR="008C0FE9" w:rsidRPr="00937AD6" w:rsidRDefault="00865613" w:rsidP="00EF629F">
      <w:pPr>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14:paraId="63B5E752" w14:textId="77777777"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14:paraId="54781D63" w14:textId="77777777" w:rsidR="00865613" w:rsidRPr="00526A8C" w:rsidRDefault="00865613" w:rsidP="00026B51">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lang w:val="id-ID"/>
        </w:rPr>
      </w:pPr>
      <w:r w:rsidRPr="00526A8C">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14:paraId="1F0C4EAF" w14:textId="77777777"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14:paraId="363362BF" w14:textId="77777777" w:rsidR="00865613" w:rsidRPr="00937AD6" w:rsidRDefault="00865613" w:rsidP="00526A8C">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14:paraId="6C6004B0" w14:textId="77777777" w:rsidR="00865613" w:rsidRPr="00937AD6" w:rsidRDefault="00865613" w:rsidP="00526A8C">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14:paraId="3AA0C2D5" w14:textId="77777777" w:rsidR="00865613" w:rsidRPr="00937AD6" w:rsidRDefault="00865613" w:rsidP="00526A8C">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lastRenderedPageBreak/>
        <w:t>Denda keterlambatan apabila terjadi keterlambatan penyelesaian pekerjaan. Besarnya denda keterlambatan adalah:</w:t>
      </w:r>
    </w:p>
    <w:p w14:paraId="445F38A0" w14:textId="77777777" w:rsidR="00865613" w:rsidRPr="00937AD6" w:rsidRDefault="00865613" w:rsidP="00526A8C">
      <w:pPr>
        <w:pStyle w:val="ListParagraph"/>
        <w:numPr>
          <w:ilvl w:val="0"/>
          <w:numId w:val="6"/>
        </w:numPr>
        <w:autoSpaceDE w:val="0"/>
        <w:autoSpaceDN w:val="0"/>
        <w:adjustRightInd w:val="0"/>
        <w:spacing w:after="0" w:line="240" w:lineRule="auto"/>
        <w:ind w:left="993" w:hanging="426"/>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14:paraId="140C2466" w14:textId="77777777" w:rsidR="00865613" w:rsidRPr="00937AD6" w:rsidRDefault="00865613" w:rsidP="00526A8C">
      <w:pPr>
        <w:pStyle w:val="ListParagraph"/>
        <w:autoSpaceDE w:val="0"/>
        <w:autoSpaceDN w:val="0"/>
        <w:adjustRightInd w:val="0"/>
        <w:spacing w:after="0" w:line="240" w:lineRule="auto"/>
        <w:ind w:left="99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14:paraId="30DD2177" w14:textId="77777777" w:rsidR="00865613" w:rsidRPr="00937AD6" w:rsidRDefault="00865613" w:rsidP="00526A8C">
      <w:pPr>
        <w:pStyle w:val="ListParagraph"/>
        <w:numPr>
          <w:ilvl w:val="0"/>
          <w:numId w:val="6"/>
        </w:numPr>
        <w:autoSpaceDE w:val="0"/>
        <w:autoSpaceDN w:val="0"/>
        <w:adjustRightInd w:val="0"/>
        <w:spacing w:after="0" w:line="240" w:lineRule="auto"/>
        <w:ind w:left="993" w:hanging="426"/>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14:paraId="2E59A5DA" w14:textId="77777777" w:rsidR="00865613" w:rsidRPr="00026B51" w:rsidRDefault="00865613" w:rsidP="00526A8C">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937AD6">
        <w:rPr>
          <w:rFonts w:ascii="Times New Roman" w:hAnsi="Times New Roman" w:cs="Times New Roman"/>
          <w:color w:val="000000"/>
          <w:sz w:val="24"/>
          <w:szCs w:val="24"/>
          <w:lang w:val="id-ID"/>
        </w:rPr>
        <w:t>Tata cara pembayaran denda diatur di dalam Dokumen Kontrak.</w:t>
      </w:r>
    </w:p>
    <w:p w14:paraId="403C6AF2" w14:textId="77777777" w:rsidR="00026B51" w:rsidRDefault="00026B51" w:rsidP="00026B51">
      <w:pPr>
        <w:autoSpaceDE w:val="0"/>
        <w:autoSpaceDN w:val="0"/>
        <w:adjustRightInd w:val="0"/>
        <w:spacing w:after="0" w:line="240" w:lineRule="auto"/>
        <w:jc w:val="both"/>
        <w:rPr>
          <w:rFonts w:ascii="Times New Roman" w:hAnsi="Times New Roman" w:cs="Times New Roman"/>
          <w:sz w:val="24"/>
          <w:szCs w:val="24"/>
          <w:lang w:val="id-ID"/>
        </w:rPr>
      </w:pPr>
    </w:p>
    <w:p w14:paraId="68DF9C14" w14:textId="77777777" w:rsidR="00EF629F" w:rsidRPr="00BA47AF" w:rsidRDefault="00EF629F" w:rsidP="00EF629F">
      <w:p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sz w:val="24"/>
          <w:szCs w:val="24"/>
        </w:rPr>
        <w:t>Permendagri</w:t>
      </w:r>
      <w:proofErr w:type="spellEnd"/>
      <w:r w:rsidRPr="00BA47AF">
        <w:rPr>
          <w:rFonts w:ascii="Times New Roman" w:hAnsi="Times New Roman" w:cs="Times New Roman"/>
          <w:sz w:val="24"/>
          <w:szCs w:val="24"/>
        </w:rPr>
        <w:t xml:space="preserve"> No. 133 </w:t>
      </w:r>
      <w:proofErr w:type="spellStart"/>
      <w:r w:rsidRPr="00BA47AF">
        <w:rPr>
          <w:rFonts w:ascii="Times New Roman" w:hAnsi="Times New Roman" w:cs="Times New Roman"/>
          <w:sz w:val="24"/>
          <w:szCs w:val="24"/>
        </w:rPr>
        <w:t>Tahun</w:t>
      </w:r>
      <w:proofErr w:type="spellEnd"/>
      <w:r w:rsidRPr="00BA47AF">
        <w:rPr>
          <w:rFonts w:ascii="Times New Roman" w:hAnsi="Times New Roman" w:cs="Times New Roman"/>
          <w:sz w:val="24"/>
          <w:szCs w:val="24"/>
        </w:rPr>
        <w:t xml:space="preserve"> 2018 </w:t>
      </w:r>
      <w:proofErr w:type="spellStart"/>
      <w:r w:rsidRPr="00BA47AF">
        <w:rPr>
          <w:rFonts w:ascii="Times New Roman" w:hAnsi="Times New Roman" w:cs="Times New Roman"/>
          <w:sz w:val="24"/>
          <w:szCs w:val="24"/>
        </w:rPr>
        <w:t>tentang</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Penyelesaian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Tuntutan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Ganti</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Kerugian</w:t>
      </w:r>
      <w:proofErr w:type="spellEnd"/>
      <w:r w:rsidRPr="00BA47AF">
        <w:rPr>
          <w:rFonts w:ascii="Times New Roman" w:hAnsi="Times New Roman" w:cs="Times New Roman"/>
          <w:sz w:val="24"/>
          <w:szCs w:val="24"/>
        </w:rPr>
        <w:t xml:space="preserve"> Daerah </w:t>
      </w:r>
      <w:proofErr w:type="spellStart"/>
      <w:r w:rsidRPr="00BA47AF">
        <w:rPr>
          <w:rFonts w:ascii="Times New Roman" w:hAnsi="Times New Roman" w:cs="Times New Roman"/>
          <w:sz w:val="24"/>
          <w:szCs w:val="24"/>
        </w:rPr>
        <w:t>Terhadap</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Pegawai</w:t>
      </w:r>
      <w:proofErr w:type="spellEnd"/>
      <w:r w:rsidRPr="00BA47AF">
        <w:rPr>
          <w:rFonts w:ascii="Times New Roman" w:hAnsi="Times New Roman" w:cs="Times New Roman"/>
          <w:sz w:val="24"/>
          <w:szCs w:val="24"/>
        </w:rPr>
        <w:t xml:space="preserve"> Negeri </w:t>
      </w:r>
      <w:proofErr w:type="spellStart"/>
      <w:r w:rsidRPr="00BA47AF">
        <w:rPr>
          <w:rFonts w:ascii="Times New Roman" w:hAnsi="Times New Roman" w:cs="Times New Roman"/>
          <w:sz w:val="24"/>
          <w:szCs w:val="24"/>
        </w:rPr>
        <w:t>Bukan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Bendahara</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Atau</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Pejabat</w:t>
      </w:r>
      <w:proofErr w:type="spellEnd"/>
      <w:r w:rsidRPr="00BA47AF">
        <w:rPr>
          <w:rFonts w:ascii="Times New Roman" w:hAnsi="Times New Roman" w:cs="Times New Roman"/>
          <w:sz w:val="24"/>
          <w:szCs w:val="24"/>
        </w:rPr>
        <w:t xml:space="preserve"> Lain</w:t>
      </w:r>
      <w:r>
        <w:rPr>
          <w:rFonts w:ascii="Times New Roman" w:hAnsi="Times New Roman" w:cs="Times New Roman"/>
          <w:color w:val="222222"/>
          <w:sz w:val="24"/>
          <w:szCs w:val="24"/>
          <w:shd w:val="clear" w:color="auto" w:fill="FFFFFF"/>
          <w:lang w:val="id-ID"/>
        </w:rPr>
        <w:t>, menyebutkan bahwa:</w:t>
      </w:r>
    </w:p>
    <w:p w14:paraId="6573A71F"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Ganti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suatu</w:t>
      </w:r>
      <w:proofErr w:type="spellEnd"/>
      <w:r w:rsidRPr="00BA47AF">
        <w:rPr>
          <w:rFonts w:ascii="Times New Roman" w:hAnsi="Times New Roman" w:cs="Times New Roman"/>
          <w:color w:val="000000"/>
          <w:sz w:val="24"/>
          <w:szCs w:val="24"/>
          <w:lang w:val="en"/>
        </w:rPr>
        <w:t xml:space="preserve"> proses </w:t>
      </w: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terhadap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pegawai</w:t>
      </w:r>
      <w:proofErr w:type="spellEnd"/>
      <w:r w:rsidRPr="00BA47AF">
        <w:rPr>
          <w:rFonts w:ascii="Times New Roman" w:hAnsi="Times New Roman" w:cs="Times New Roman"/>
          <w:color w:val="000000"/>
          <w:sz w:val="24"/>
          <w:szCs w:val="24"/>
          <w:lang w:val="en"/>
        </w:rPr>
        <w:t xml:space="preserve"> negeri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atau</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pejabat</w:t>
      </w:r>
      <w:proofErr w:type="spellEnd"/>
      <w:r w:rsidRPr="00BA47AF">
        <w:rPr>
          <w:rFonts w:ascii="Times New Roman" w:hAnsi="Times New Roman" w:cs="Times New Roman"/>
          <w:color w:val="000000"/>
          <w:sz w:val="24"/>
          <w:szCs w:val="24"/>
          <w:lang w:val="en"/>
        </w:rPr>
        <w:t xml:space="preserve"> lain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tujuan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untuk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memulihkan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14:paraId="20DF33C5"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kekurangan</w:t>
      </w:r>
      <w:proofErr w:type="spellEnd"/>
      <w:r w:rsidRPr="00BA47AF">
        <w:rPr>
          <w:rFonts w:ascii="Times New Roman" w:hAnsi="Times New Roman" w:cs="Times New Roman"/>
          <w:color w:val="000000"/>
          <w:sz w:val="24"/>
          <w:szCs w:val="24"/>
          <w:lang w:val="en"/>
        </w:rPr>
        <w:t xml:space="preserve"> uang, </w:t>
      </w:r>
      <w:proofErr w:type="spellStart"/>
      <w:r w:rsidRPr="00BA47AF">
        <w:rPr>
          <w:rFonts w:ascii="Times New Roman" w:hAnsi="Times New Roman" w:cs="Times New Roman"/>
          <w:color w:val="000000"/>
          <w:sz w:val="24"/>
          <w:szCs w:val="24"/>
          <w:lang w:val="en"/>
        </w:rPr>
        <w:t>surat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berharga</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barang</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nyata</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pasti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jumlahnya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sebagai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akibat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perbuatan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melawan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hukum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baik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sengaja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maupun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lalai</w:t>
      </w:r>
      <w:proofErr w:type="spellEnd"/>
      <w:r w:rsidRPr="00BA47AF">
        <w:rPr>
          <w:rFonts w:ascii="Times New Roman" w:hAnsi="Times New Roman" w:cs="Times New Roman"/>
          <w:color w:val="000000"/>
          <w:sz w:val="24"/>
          <w:szCs w:val="24"/>
          <w:lang w:val="id-ID"/>
        </w:rPr>
        <w:t>.</w:t>
      </w:r>
    </w:p>
    <w:p w14:paraId="2DD1C870"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bersumber</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id-ID"/>
        </w:rPr>
        <w:t>:</w:t>
      </w:r>
    </w:p>
    <w:p w14:paraId="6403292E"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r w:rsidRPr="00BA47AF">
        <w:rPr>
          <w:rFonts w:ascii="Times New Roman" w:hAnsi="Times New Roman" w:cs="Times New Roman"/>
          <w:color w:val="000000"/>
          <w:sz w:val="24"/>
          <w:szCs w:val="24"/>
          <w:lang w:val="en"/>
        </w:rPr>
        <w:t>hasil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atasan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langsung</w:t>
      </w:r>
      <w:proofErr w:type="spellEnd"/>
      <w:r w:rsidRPr="00BA47AF">
        <w:rPr>
          <w:rFonts w:ascii="Times New Roman" w:hAnsi="Times New Roman" w:cs="Times New Roman"/>
          <w:color w:val="000000"/>
          <w:sz w:val="24"/>
          <w:szCs w:val="24"/>
          <w:lang w:val="en"/>
        </w:rPr>
        <w:t>;</w:t>
      </w:r>
    </w:p>
    <w:p w14:paraId="684FC843"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Aparat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Internal </w:t>
      </w:r>
      <w:proofErr w:type="spellStart"/>
      <w:r w:rsidRPr="00BA47AF">
        <w:rPr>
          <w:rFonts w:ascii="Times New Roman" w:hAnsi="Times New Roman" w:cs="Times New Roman"/>
          <w:color w:val="000000"/>
          <w:sz w:val="24"/>
          <w:szCs w:val="24"/>
          <w:lang w:val="en"/>
        </w:rPr>
        <w:t>Pemerintah</w:t>
      </w:r>
      <w:proofErr w:type="spellEnd"/>
      <w:r w:rsidRPr="00BA47AF">
        <w:rPr>
          <w:rFonts w:ascii="Times New Roman" w:hAnsi="Times New Roman" w:cs="Times New Roman"/>
          <w:color w:val="000000"/>
          <w:sz w:val="24"/>
          <w:szCs w:val="24"/>
          <w:lang w:val="en"/>
        </w:rPr>
        <w:t>;</w:t>
      </w:r>
    </w:p>
    <w:p w14:paraId="57C2AA86"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pemeriksaan</w:t>
      </w:r>
      <w:proofErr w:type="spellEnd"/>
      <w:r w:rsidRPr="00BA47AF">
        <w:rPr>
          <w:rFonts w:ascii="Times New Roman" w:hAnsi="Times New Roman" w:cs="Times New Roman"/>
          <w:color w:val="000000"/>
          <w:sz w:val="24"/>
          <w:szCs w:val="24"/>
          <w:lang w:val="en"/>
        </w:rPr>
        <w:t xml:space="preserve"> Badan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w:t>
      </w:r>
    </w:p>
    <w:p w14:paraId="6214BE01"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bersangkutan</w:t>
      </w:r>
      <w:proofErr w:type="spellEnd"/>
      <w:r w:rsidRPr="00BA47AF">
        <w:rPr>
          <w:rFonts w:ascii="Times New Roman" w:hAnsi="Times New Roman" w:cs="Times New Roman"/>
          <w:color w:val="000000"/>
          <w:sz w:val="24"/>
          <w:szCs w:val="24"/>
          <w:lang w:val="en"/>
        </w:rPr>
        <w:t>;</w:t>
      </w:r>
    </w:p>
    <w:p w14:paraId="50CA18B5"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masyarakat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bertanggung</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jawab</w:t>
      </w:r>
      <w:proofErr w:type="spellEnd"/>
      <w:r w:rsidRPr="00BA47AF">
        <w:rPr>
          <w:rFonts w:ascii="Times New Roman" w:hAnsi="Times New Roman" w:cs="Times New Roman"/>
          <w:color w:val="000000"/>
          <w:sz w:val="24"/>
          <w:szCs w:val="24"/>
          <w:lang w:val="en"/>
        </w:rPr>
        <w:t>;</w:t>
      </w:r>
    </w:p>
    <w:p w14:paraId="7422CA9E"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perhitungan</w:t>
      </w:r>
      <w:proofErr w:type="spellEnd"/>
      <w:r w:rsidRPr="00BA47AF">
        <w:rPr>
          <w:rFonts w:ascii="Times New Roman" w:hAnsi="Times New Roman" w:cs="Times New Roman"/>
          <w:color w:val="000000"/>
          <w:sz w:val="24"/>
          <w:szCs w:val="24"/>
          <w:lang w:val="en"/>
        </w:rPr>
        <w:t xml:space="preserve"> ex officio; dan/</w:t>
      </w:r>
      <w:proofErr w:type="spellStart"/>
      <w:r w:rsidRPr="00BA47AF">
        <w:rPr>
          <w:rFonts w:ascii="Times New Roman" w:hAnsi="Times New Roman" w:cs="Times New Roman"/>
          <w:color w:val="000000"/>
          <w:sz w:val="24"/>
          <w:szCs w:val="24"/>
          <w:lang w:val="en"/>
        </w:rPr>
        <w:t>atau</w:t>
      </w:r>
      <w:proofErr w:type="spellEnd"/>
    </w:p>
    <w:p w14:paraId="75C3FAB1" w14:textId="77777777"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r w:rsidRPr="00BA47AF">
        <w:rPr>
          <w:rFonts w:ascii="Times New Roman" w:hAnsi="Times New Roman" w:cs="Times New Roman"/>
          <w:color w:val="000000"/>
          <w:sz w:val="24"/>
          <w:szCs w:val="24"/>
          <w:lang w:val="en"/>
        </w:rPr>
        <w:t>pelapor</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w:t>
      </w:r>
    </w:p>
    <w:p w14:paraId="7A755CB2" w14:textId="77777777" w:rsidR="00EF629F" w:rsidRPr="00BA47AF" w:rsidRDefault="00EF629F" w:rsidP="00EF629F">
      <w:pPr>
        <w:pStyle w:val="ListParagraph"/>
        <w:spacing w:after="0" w:line="240" w:lineRule="auto"/>
        <w:ind w:left="567"/>
        <w:jc w:val="both"/>
        <w:rPr>
          <w:rFonts w:ascii="Times New Roman" w:hAnsi="Times New Roman" w:cs="Times New Roman"/>
          <w:sz w:val="24"/>
          <w:szCs w:val="24"/>
        </w:rPr>
      </w:pPr>
    </w:p>
    <w:p w14:paraId="0372175F"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 xml:space="preserve">PPKD </w:t>
      </w:r>
      <w:proofErr w:type="spellStart"/>
      <w:r w:rsidRPr="00BA47AF">
        <w:rPr>
          <w:rFonts w:ascii="Times New Roman" w:hAnsi="Times New Roman" w:cs="Times New Roman"/>
          <w:color w:val="000000"/>
          <w:sz w:val="24"/>
          <w:szCs w:val="24"/>
          <w:lang w:val="en"/>
        </w:rPr>
        <w:t>wajib</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menindaklanjuti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didahului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yang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Pegawai</w:t>
      </w:r>
      <w:proofErr w:type="spellEnd"/>
      <w:r w:rsidRPr="00BA47AF">
        <w:rPr>
          <w:rFonts w:ascii="Times New Roman" w:hAnsi="Times New Roman" w:cs="Times New Roman"/>
          <w:color w:val="000000"/>
          <w:sz w:val="24"/>
          <w:szCs w:val="24"/>
          <w:lang w:val="en"/>
        </w:rPr>
        <w:t xml:space="preserve"> Negeri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di </w:t>
      </w:r>
      <w:proofErr w:type="spellStart"/>
      <w:r w:rsidRPr="00BA47AF">
        <w:rPr>
          <w:rFonts w:ascii="Times New Roman" w:hAnsi="Times New Roman" w:cs="Times New Roman"/>
          <w:color w:val="000000"/>
          <w:sz w:val="24"/>
          <w:szCs w:val="24"/>
          <w:lang w:val="en"/>
        </w:rPr>
        <w:t>lingkungan</w:t>
      </w:r>
      <w:proofErr w:type="spellEnd"/>
      <w:r w:rsidRPr="00BA47AF">
        <w:rPr>
          <w:rFonts w:ascii="Times New Roman" w:hAnsi="Times New Roman" w:cs="Times New Roman"/>
          <w:color w:val="000000"/>
          <w:sz w:val="24"/>
          <w:szCs w:val="24"/>
          <w:lang w:val="en"/>
        </w:rPr>
        <w:t xml:space="preserve"> SKPD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DPRD,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DPRD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SKPKD,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dan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dibiayai</w:t>
      </w:r>
      <w:proofErr w:type="spellEnd"/>
      <w:r w:rsidRPr="00BA47AF">
        <w:rPr>
          <w:rFonts w:ascii="Times New Roman" w:hAnsi="Times New Roman" w:cs="Times New Roman"/>
          <w:color w:val="000000"/>
          <w:sz w:val="24"/>
          <w:szCs w:val="24"/>
          <w:lang w:val="en"/>
        </w:rPr>
        <w:t xml:space="preserve"> APBD,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oleh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id-ID"/>
        </w:rPr>
        <w:t>.</w:t>
      </w:r>
    </w:p>
    <w:p w14:paraId="4AF750FB" w14:textId="77777777"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 xml:space="preserve">Hasil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indikasi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dilaporkan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paling lama 4 (</w:t>
      </w:r>
      <w:proofErr w:type="spellStart"/>
      <w:r w:rsidRPr="00BA47AF">
        <w:rPr>
          <w:rFonts w:ascii="Times New Roman" w:hAnsi="Times New Roman" w:cs="Times New Roman"/>
          <w:color w:val="000000"/>
          <w:sz w:val="24"/>
          <w:szCs w:val="24"/>
          <w:lang w:val="en"/>
        </w:rPr>
        <w:t>empat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sejak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14:paraId="0CEA933D"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Berdasarkan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tersebut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memberitahukan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Badan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 xml:space="preserve"> paling lama 3 (</w:t>
      </w:r>
      <w:proofErr w:type="spellStart"/>
      <w:r w:rsidRPr="00BA47AF">
        <w:rPr>
          <w:rFonts w:ascii="Times New Roman" w:hAnsi="Times New Roman" w:cs="Times New Roman"/>
          <w:color w:val="000000"/>
          <w:sz w:val="24"/>
          <w:szCs w:val="24"/>
          <w:lang w:val="en"/>
        </w:rPr>
        <w:t>tiga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setelah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id-ID"/>
        </w:rPr>
        <w:t>.</w:t>
      </w:r>
    </w:p>
    <w:p w14:paraId="1E1F4DC6"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yang </w:t>
      </w:r>
      <w:proofErr w:type="spellStart"/>
      <w:r w:rsidRPr="00C20383">
        <w:rPr>
          <w:rFonts w:ascii="Times New Roman" w:hAnsi="Times New Roman" w:cs="Times New Roman"/>
          <w:sz w:val="24"/>
          <w:szCs w:val="24"/>
        </w:rPr>
        <w:t>selanjutnya</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disingkat</w:t>
      </w:r>
      <w:proofErr w:type="spellEnd"/>
      <w:r w:rsidRPr="00C20383">
        <w:rPr>
          <w:rFonts w:ascii="Times New Roman" w:hAnsi="Times New Roman" w:cs="Times New Roman"/>
          <w:sz w:val="24"/>
          <w:szCs w:val="24"/>
        </w:rPr>
        <w:t xml:space="preserve"> PPKD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yang </w:t>
      </w:r>
      <w:proofErr w:type="spellStart"/>
      <w:r w:rsidRPr="00C20383">
        <w:rPr>
          <w:rFonts w:ascii="Times New Roman" w:hAnsi="Times New Roman" w:cs="Times New Roman"/>
          <w:sz w:val="24"/>
          <w:szCs w:val="24"/>
        </w:rPr>
        <w:t>berwenang</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untuk</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menyelesaikan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w:t>
      </w:r>
      <w:r w:rsidRPr="00C20383">
        <w:rPr>
          <w:rFonts w:ascii="Times New Roman" w:hAnsi="Times New Roman" w:cs="Times New Roman"/>
          <w:sz w:val="24"/>
          <w:szCs w:val="24"/>
          <w:lang w:val="id-ID"/>
        </w:rPr>
        <w:t xml:space="preserve">. </w:t>
      </w:r>
      <w:r w:rsidRPr="00C20383">
        <w:rPr>
          <w:rFonts w:ascii="Times New Roman" w:hAnsi="Times New Roman" w:cs="Times New Roman"/>
          <w:sz w:val="24"/>
          <w:szCs w:val="24"/>
        </w:rPr>
        <w:t xml:space="preserve">Adapun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w:t>
      </w:r>
      <w:proofErr w:type="spellStart"/>
      <w:r w:rsidRPr="00C20383">
        <w:rPr>
          <w:rFonts w:ascii="Times New Roman" w:hAnsi="Times New Roman" w:cs="Times New Roman"/>
          <w:sz w:val="24"/>
          <w:szCs w:val="24"/>
        </w:rPr>
        <w:t>tersebut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sebagai</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berikut</w:t>
      </w:r>
      <w:proofErr w:type="spellEnd"/>
      <w:r w:rsidRPr="00C20383">
        <w:rPr>
          <w:rFonts w:ascii="Times New Roman" w:hAnsi="Times New Roman" w:cs="Times New Roman"/>
          <w:sz w:val="24"/>
          <w:szCs w:val="24"/>
          <w:lang w:val="id-ID"/>
        </w:rPr>
        <w:t>:</w:t>
      </w:r>
    </w:p>
    <w:p w14:paraId="31F76AC4" w14:textId="77777777"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Gubernur</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oleh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Lembaga </w:t>
      </w:r>
      <w:proofErr w:type="spellStart"/>
      <w:r w:rsidRPr="00C20383">
        <w:rPr>
          <w:rFonts w:ascii="Times New Roman" w:hAnsi="Times New Roman" w:cs="Times New Roman"/>
          <w:color w:val="000000"/>
          <w:sz w:val="24"/>
          <w:szCs w:val="24"/>
          <w:lang w:val="en"/>
        </w:rPr>
        <w:lastRenderedPageBreak/>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Negeri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dan</w:t>
      </w:r>
    </w:p>
    <w:p w14:paraId="7BC79FC4" w14:textId="77777777"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Bupati</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Wali</w:t>
      </w:r>
      <w:proofErr w:type="spellEnd"/>
      <w:r w:rsidRPr="00C20383">
        <w:rPr>
          <w:rFonts w:ascii="Times New Roman" w:hAnsi="Times New Roman" w:cs="Times New Roman"/>
          <w:color w:val="000000"/>
          <w:sz w:val="24"/>
          <w:szCs w:val="24"/>
          <w:lang w:val="en"/>
        </w:rPr>
        <w:t xml:space="preserve"> Kota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oleh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 xml:space="preserve">/Kota,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lembaga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Negeri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kota</w:t>
      </w:r>
      <w:proofErr w:type="spellEnd"/>
      <w:r w:rsidRPr="00C20383">
        <w:rPr>
          <w:rFonts w:ascii="Times New Roman" w:hAnsi="Times New Roman" w:cs="Times New Roman"/>
          <w:color w:val="000000"/>
          <w:sz w:val="24"/>
          <w:szCs w:val="24"/>
          <w:lang w:val="id-ID"/>
        </w:rPr>
        <w:t>.</w:t>
      </w:r>
    </w:p>
    <w:p w14:paraId="344915BE" w14:textId="77777777"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C20383">
        <w:rPr>
          <w:rFonts w:ascii="Times New Roman" w:hAnsi="Times New Roman" w:cs="Times New Roman"/>
          <w:color w:val="000000"/>
          <w:sz w:val="24"/>
          <w:szCs w:val="24"/>
          <w:lang w:val="en"/>
        </w:rPr>
        <w:t xml:space="preserve">PPKD </w:t>
      </w:r>
      <w:proofErr w:type="spellStart"/>
      <w:r w:rsidRPr="00C20383">
        <w:rPr>
          <w:rFonts w:ascii="Times New Roman" w:hAnsi="Times New Roman" w:cs="Times New Roman"/>
          <w:color w:val="000000"/>
          <w:sz w:val="24"/>
          <w:szCs w:val="24"/>
          <w:lang w:val="en"/>
        </w:rPr>
        <w:t>mempunyai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tugas</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wewenang</w:t>
      </w:r>
      <w:proofErr w:type="spellEnd"/>
      <w:r w:rsidRPr="00C20383">
        <w:rPr>
          <w:rFonts w:ascii="Times New Roman" w:hAnsi="Times New Roman" w:cs="Times New Roman"/>
          <w:color w:val="000000"/>
          <w:sz w:val="24"/>
          <w:szCs w:val="24"/>
          <w:lang w:val="id-ID"/>
        </w:rPr>
        <w:t>:</w:t>
      </w:r>
    </w:p>
    <w:p w14:paraId="72D3F775"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rPr>
      </w:pPr>
      <w:proofErr w:type="spellStart"/>
      <w:r w:rsidRPr="00C20383">
        <w:rPr>
          <w:rFonts w:ascii="Times New Roman" w:hAnsi="Times New Roman" w:cs="Times New Roman"/>
          <w:color w:val="000000"/>
          <w:sz w:val="24"/>
          <w:szCs w:val="24"/>
          <w:lang w:val="en"/>
        </w:rPr>
        <w:t>melakukan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pemantauan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penyelesaian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p>
    <w:p w14:paraId="48C930C0"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TPKD;</w:t>
      </w:r>
    </w:p>
    <w:p w14:paraId="6960094B"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menyetujui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menolak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laporan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hasil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pemeriksaan</w:t>
      </w:r>
      <w:proofErr w:type="spellEnd"/>
      <w:r w:rsidRPr="00C20383">
        <w:rPr>
          <w:rFonts w:ascii="Times New Roman" w:hAnsi="Times New Roman" w:cs="Times New Roman"/>
          <w:color w:val="000000"/>
          <w:sz w:val="24"/>
          <w:szCs w:val="24"/>
          <w:lang w:val="en"/>
        </w:rPr>
        <w:t xml:space="preserve"> TPKD;</w:t>
      </w:r>
    </w:p>
    <w:p w14:paraId="24517065"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memberitahukan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indikasi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w:t>
      </w:r>
      <w:proofErr w:type="spellStart"/>
      <w:r w:rsidRPr="00C20383">
        <w:rPr>
          <w:rFonts w:ascii="Times New Roman" w:hAnsi="Times New Roman" w:cs="Times New Roman"/>
          <w:color w:val="000000"/>
          <w:sz w:val="24"/>
          <w:szCs w:val="24"/>
          <w:lang w:val="en"/>
        </w:rPr>
        <w:t>kepada</w:t>
      </w:r>
      <w:proofErr w:type="spellEnd"/>
      <w:r w:rsidRPr="00C20383">
        <w:rPr>
          <w:rFonts w:ascii="Times New Roman" w:hAnsi="Times New Roman" w:cs="Times New Roman"/>
          <w:color w:val="000000"/>
          <w:sz w:val="24"/>
          <w:szCs w:val="24"/>
          <w:lang w:val="en"/>
        </w:rPr>
        <w:t xml:space="preserve"> Badan </w:t>
      </w:r>
      <w:proofErr w:type="spellStart"/>
      <w:r w:rsidRPr="00C20383">
        <w:rPr>
          <w:rFonts w:ascii="Times New Roman" w:hAnsi="Times New Roman" w:cs="Times New Roman"/>
          <w:color w:val="000000"/>
          <w:sz w:val="24"/>
          <w:szCs w:val="24"/>
          <w:lang w:val="en"/>
        </w:rPr>
        <w:t>Pemeriksa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Keuangan</w:t>
      </w:r>
      <w:proofErr w:type="spellEnd"/>
      <w:r w:rsidRPr="00C20383">
        <w:rPr>
          <w:rFonts w:ascii="Times New Roman" w:hAnsi="Times New Roman" w:cs="Times New Roman"/>
          <w:color w:val="000000"/>
          <w:sz w:val="24"/>
          <w:szCs w:val="24"/>
          <w:lang w:val="en"/>
        </w:rPr>
        <w:t>;</w:t>
      </w:r>
    </w:p>
    <w:p w14:paraId="6351869D"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dan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Majelis</w:t>
      </w:r>
      <w:proofErr w:type="spellEnd"/>
      <w:r w:rsidRPr="00C20383">
        <w:rPr>
          <w:rFonts w:ascii="Times New Roman" w:hAnsi="Times New Roman" w:cs="Times New Roman"/>
          <w:color w:val="000000"/>
          <w:sz w:val="24"/>
          <w:szCs w:val="24"/>
          <w:lang w:val="en"/>
        </w:rPr>
        <w:t>;</w:t>
      </w:r>
    </w:p>
    <w:p w14:paraId="49A63084"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SKP2KS;</w:t>
      </w:r>
    </w:p>
    <w:p w14:paraId="07A01EFC" w14:textId="77777777"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 dan</w:t>
      </w:r>
    </w:p>
    <w:p w14:paraId="24D153A9" w14:textId="77777777" w:rsidR="00EF7332" w:rsidRPr="00EF7332"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lang w:val="id-ID"/>
        </w:rPr>
      </w:pPr>
      <w:proofErr w:type="spellStart"/>
      <w:r w:rsidRPr="00C20383">
        <w:rPr>
          <w:rFonts w:ascii="Times New Roman" w:hAnsi="Times New Roman" w:cs="Times New Roman"/>
          <w:color w:val="000000"/>
          <w:sz w:val="24"/>
          <w:szCs w:val="24"/>
          <w:lang w:val="en"/>
        </w:rPr>
        <w:t>melakukan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pembebasan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penghapusan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penggantian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r>
        <w:rPr>
          <w:rFonts w:ascii="Times New Roman" w:hAnsi="Times New Roman" w:cs="Times New Roman"/>
          <w:color w:val="000000"/>
          <w:sz w:val="24"/>
          <w:szCs w:val="24"/>
          <w:lang w:val="id-ID"/>
        </w:rPr>
        <w:t>.</w:t>
      </w:r>
    </w:p>
    <w:p w14:paraId="0D833105" w14:textId="77777777" w:rsidR="00026B51" w:rsidRDefault="00026B51" w:rsidP="00026B51">
      <w:pPr>
        <w:autoSpaceDE w:val="0"/>
        <w:autoSpaceDN w:val="0"/>
        <w:adjustRightInd w:val="0"/>
        <w:spacing w:after="0" w:line="360" w:lineRule="auto"/>
        <w:jc w:val="both"/>
        <w:rPr>
          <w:rFonts w:ascii="Times New Roman" w:hAnsi="Times New Roman" w:cs="Times New Roman"/>
          <w:b/>
          <w:sz w:val="24"/>
          <w:szCs w:val="24"/>
        </w:rPr>
      </w:pPr>
    </w:p>
    <w:p w14:paraId="7CFC5040" w14:textId="77777777" w:rsidR="00026B51" w:rsidRPr="00026B51" w:rsidRDefault="00026B51" w:rsidP="00026B51">
      <w:pPr>
        <w:autoSpaceDE w:val="0"/>
        <w:autoSpaceDN w:val="0"/>
        <w:adjustRightInd w:val="0"/>
        <w:spacing w:after="0" w:line="240" w:lineRule="auto"/>
        <w:jc w:val="both"/>
        <w:rPr>
          <w:rFonts w:ascii="Times New Roman" w:hAnsi="Times New Roman" w:cs="Times New Roman"/>
          <w:sz w:val="24"/>
          <w:szCs w:val="24"/>
          <w:lang w:val="id-ID"/>
        </w:rPr>
      </w:pPr>
    </w:p>
    <w:sectPr w:rsidR="00026B51" w:rsidRPr="00026B51" w:rsidSect="007550EC">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55D4" w14:textId="77777777" w:rsidR="00301A33" w:rsidRDefault="00301A33" w:rsidP="002E07C4">
      <w:pPr>
        <w:spacing w:after="0" w:line="240" w:lineRule="auto"/>
      </w:pPr>
      <w:r>
        <w:separator/>
      </w:r>
    </w:p>
  </w:endnote>
  <w:endnote w:type="continuationSeparator" w:id="0">
    <w:p w14:paraId="29CADEF4" w14:textId="77777777" w:rsidR="00301A33" w:rsidRDefault="00301A33" w:rsidP="002E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F996" w14:textId="77777777" w:rsidR="002E07C4" w:rsidRDefault="002E07C4" w:rsidP="002E07C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04B2CAD5" w14:textId="77777777" w:rsidR="002E07C4" w:rsidRDefault="002E07C4" w:rsidP="002E07C4"/>
  <w:p w14:paraId="444C3962" w14:textId="77777777" w:rsidR="002E07C4" w:rsidRDefault="002E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0F5E" w14:textId="77777777" w:rsidR="00301A33" w:rsidRDefault="00301A33" w:rsidP="002E07C4">
      <w:pPr>
        <w:spacing w:after="0" w:line="240" w:lineRule="auto"/>
      </w:pPr>
      <w:r>
        <w:separator/>
      </w:r>
    </w:p>
  </w:footnote>
  <w:footnote w:type="continuationSeparator" w:id="0">
    <w:p w14:paraId="2AA07F15" w14:textId="77777777" w:rsidR="00301A33" w:rsidRDefault="00301A33" w:rsidP="002E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70"/>
    <w:multiLevelType w:val="hybridMultilevel"/>
    <w:tmpl w:val="DFF8C8B6"/>
    <w:lvl w:ilvl="0" w:tplc="786AEDA2">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921FEC"/>
    <w:multiLevelType w:val="hybridMultilevel"/>
    <w:tmpl w:val="BB0AF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BC00F5E"/>
    <w:multiLevelType w:val="hybridMultilevel"/>
    <w:tmpl w:val="9E72042E"/>
    <w:lvl w:ilvl="0" w:tplc="AF26F0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57C94"/>
    <w:multiLevelType w:val="hybridMultilevel"/>
    <w:tmpl w:val="1EA068F8"/>
    <w:lvl w:ilvl="0" w:tplc="A8B6D1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4A562B0"/>
    <w:multiLevelType w:val="hybridMultilevel"/>
    <w:tmpl w:val="641CEE1A"/>
    <w:lvl w:ilvl="0" w:tplc="414ED838">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DF1C1D"/>
    <w:multiLevelType w:val="hybridMultilevel"/>
    <w:tmpl w:val="85B63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50B27617"/>
    <w:multiLevelType w:val="hybridMultilevel"/>
    <w:tmpl w:val="BAD63D48"/>
    <w:lvl w:ilvl="0" w:tplc="5B786E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A5E1C"/>
    <w:multiLevelType w:val="hybridMultilevel"/>
    <w:tmpl w:val="61DA4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02C6F"/>
    <w:multiLevelType w:val="hybridMultilevel"/>
    <w:tmpl w:val="E460E5D8"/>
    <w:lvl w:ilvl="0" w:tplc="8CFC12D6">
      <w:start w:val="1"/>
      <w:numFmt w:val="lowerLetter"/>
      <w:lvlText w:val="%1."/>
      <w:lvlJc w:val="left"/>
      <w:pPr>
        <w:ind w:left="644" w:hanging="360"/>
      </w:pPr>
      <w:rPr>
        <w:rFonts w:hint="default"/>
        <w:color w:val="auto"/>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15A496E"/>
    <w:multiLevelType w:val="hybridMultilevel"/>
    <w:tmpl w:val="84A2C544"/>
    <w:lvl w:ilvl="0" w:tplc="1722E060">
      <w:start w:val="1"/>
      <w:numFmt w:val="lowerLetter"/>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1"/>
  </w:num>
  <w:num w:numId="5">
    <w:abstractNumId w:val="2"/>
  </w:num>
  <w:num w:numId="6">
    <w:abstractNumId w:val="9"/>
  </w:num>
  <w:num w:numId="7">
    <w:abstractNumId w:val="10"/>
  </w:num>
  <w:num w:numId="8">
    <w:abstractNumId w:val="1"/>
  </w:num>
  <w:num w:numId="9">
    <w:abstractNumId w:val="3"/>
  </w:num>
  <w:num w:numId="10">
    <w:abstractNumId w:val="0"/>
  </w:num>
  <w:num w:numId="11">
    <w:abstractNumId w:val="7"/>
  </w:num>
  <w:num w:numId="12">
    <w:abstractNumId w:val="16"/>
  </w:num>
  <w:num w:numId="13">
    <w:abstractNumId w:val="13"/>
  </w:num>
  <w:num w:numId="14">
    <w:abstractNumId w:val="6"/>
  </w:num>
  <w:num w:numId="15">
    <w:abstractNumId w:val="17"/>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E9"/>
    <w:rsid w:val="00016216"/>
    <w:rsid w:val="00026B51"/>
    <w:rsid w:val="00080B66"/>
    <w:rsid w:val="00091340"/>
    <w:rsid w:val="001D4E30"/>
    <w:rsid w:val="002E07C4"/>
    <w:rsid w:val="00301A33"/>
    <w:rsid w:val="003F136D"/>
    <w:rsid w:val="00526A8C"/>
    <w:rsid w:val="00825152"/>
    <w:rsid w:val="00865613"/>
    <w:rsid w:val="008C0FE9"/>
    <w:rsid w:val="00937AD6"/>
    <w:rsid w:val="009A5FDC"/>
    <w:rsid w:val="009F0630"/>
    <w:rsid w:val="00CD249C"/>
    <w:rsid w:val="00D63FBB"/>
    <w:rsid w:val="00EF629F"/>
    <w:rsid w:val="00EF7332"/>
    <w:rsid w:val="00F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449"/>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2E0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7C4"/>
  </w:style>
  <w:style w:type="paragraph" w:styleId="Footer">
    <w:name w:val="footer"/>
    <w:basedOn w:val="Normal"/>
    <w:link w:val="FooterChar"/>
    <w:uiPriority w:val="99"/>
    <w:unhideWhenUsed/>
    <w:rsid w:val="002E0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s://lombokpost.jawapos.com/giri-menang/25/02/2021/terkait-longsor-senggigi-polisi-warning-dispar-l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DCA4-EF98-48A9-9D55-67E6059D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4</cp:revision>
  <dcterms:created xsi:type="dcterms:W3CDTF">2021-03-02T08:19:00Z</dcterms:created>
  <dcterms:modified xsi:type="dcterms:W3CDTF">2021-03-26T06:27:00Z</dcterms:modified>
</cp:coreProperties>
</file>