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81" w:rsidRDefault="00420087" w:rsidP="00DD2A0E">
      <w:pPr>
        <w:autoSpaceDE w:val="0"/>
        <w:autoSpaceDN w:val="0"/>
        <w:adjustRightInd w:val="0"/>
        <w:spacing w:after="0" w:line="240" w:lineRule="auto"/>
        <w:ind w:firstLine="720"/>
        <w:jc w:val="center"/>
        <w:rPr>
          <w:rFonts w:ascii="Times New Roman" w:hAnsi="Times New Roman" w:cs="Times New Roman"/>
          <w:b/>
          <w:sz w:val="28"/>
          <w:szCs w:val="28"/>
          <w:lang w:val="id"/>
        </w:rPr>
      </w:pPr>
      <w:r w:rsidRPr="00B96B81">
        <w:rPr>
          <w:rFonts w:ascii="Times New Roman" w:hAnsi="Times New Roman" w:cs="Times New Roman"/>
          <w:b/>
          <w:sz w:val="28"/>
          <w:szCs w:val="28"/>
          <w:lang w:val="id"/>
        </w:rPr>
        <w:t xml:space="preserve">GUBERNUR NTB PEDULI, </w:t>
      </w:r>
    </w:p>
    <w:p w:rsidR="00E54BA2" w:rsidRPr="00EA169B" w:rsidRDefault="00420087"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B96B81">
        <w:rPr>
          <w:rFonts w:ascii="Times New Roman" w:hAnsi="Times New Roman" w:cs="Times New Roman"/>
          <w:b/>
          <w:sz w:val="28"/>
          <w:szCs w:val="28"/>
          <w:lang w:val="id"/>
        </w:rPr>
        <w:t>SEBANYAK 958 PAHLAWAN KEBERSIHAN DIBERIKAN UANG DAN BERAS</w:t>
      </w:r>
    </w:p>
    <w:p w:rsidR="00E54BA2" w:rsidRDefault="00F03080"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5431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B07558" w:rsidRPr="002F68FB" w:rsidRDefault="004C1BC9"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w:t>
      </w:r>
      <w:r w:rsidR="00F03080">
        <w:rPr>
          <w:rFonts w:ascii="Times New Roman" w:hAnsi="Times New Roman" w:cs="Times New Roman"/>
          <w:i/>
          <w:sz w:val="24"/>
          <w:szCs w:val="24"/>
          <w:lang w:val="id-ID"/>
        </w:rPr>
        <w:t>Republika.co.id</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B96B81" w:rsidRDefault="00B96B81" w:rsidP="00B96B8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Mataram, Talikanews.com – Gubernur NTB Dr. H. Zulkieflimansyah menyerahkan bantuan sosial kepada 958 petugas kebersihan yang kerap disebut pahlawan kebersihan terdiri dari 600 petugas Dinas Kebersihan Kota Mataram dan 358 petugas Cleaning Service (CS) di beberapa Organisasi Perangkat Daerah (OPD).</w:t>
      </w:r>
    </w:p>
    <w:p w:rsidR="00B96B81" w:rsidRDefault="00B96B81" w:rsidP="00B96B8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Pemberian bantuan ini sebagai bentuk kepedulian Dr Zul kepada petugas kebersihan, yang telah memberikan kontribusi bagi kebersihan lingkungan. Adapun jenis bantuan sosial itu berupa uang tunai Rp 600.000 dan beras, yang diharapkan dapat membantu meringankan kebutuhan dapur para petugas kebersihan.</w:t>
      </w:r>
    </w:p>
    <w:p w:rsidR="00B96B81" w:rsidRDefault="00B96B81" w:rsidP="00B96B8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“Apa yang kita berikan hari ini semoga dapat meringankan kebutuhan bapak ibu semua,” ungkapnya Kamis 6 Mei 2021,di Lapangan Bumi Gora Kantor Gubernur NTB.</w:t>
      </w:r>
    </w:p>
    <w:p w:rsidR="00B96B81" w:rsidRDefault="00B96B81" w:rsidP="00B96B8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Disatu sisi, Kepala Dinas Sosial, H. Ahsanul Halik, menyampaikan, bantuan sosial yang diberikan pemerintah dapat dimanfaatkan sebaik mungkin dalam menyambut Hari raya Idul Fitri.</w:t>
      </w:r>
    </w:p>
    <w:p w:rsidR="00B96B81" w:rsidRDefault="00B96B81" w:rsidP="00B96B8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“Lebaran ini mereka memiliki harapan untuk kepentingan menghadapi lebaran, diharapkan uangnya dapat digunakan sebaik mungkin, berasnya bisa digunakan untuk fitrah,” kata dia.</w:t>
      </w:r>
    </w:p>
    <w:p w:rsidR="00AB2487" w:rsidRPr="00420087" w:rsidRDefault="00B96B81" w:rsidP="00B96B8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Salah satu petugas kebersihan dari Dinas Kebersihan Kota Mataram, Mahyudin mengaku bersyukur atas diberikannya bantuan sosial. “Terima kasih kepada Gubernur NTB dan seluruh </w:t>
      </w:r>
      <w:r>
        <w:rPr>
          <w:rFonts w:ascii="Times New Roman" w:hAnsi="Times New Roman" w:cs="Times New Roman"/>
          <w:sz w:val="24"/>
          <w:szCs w:val="24"/>
          <w:lang w:val="id"/>
        </w:rPr>
        <w:lastRenderedPageBreak/>
        <w:t>jajarannya yang telah memberikan bantuan kepada kami, Insya Allah akan digunakan sebaik mungkin,” tutup Mahyudin.(TN-red)</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id"/>
        </w:rPr>
      </w:pPr>
    </w:p>
    <w:p w:rsidR="00420087" w:rsidRPr="00420087" w:rsidRDefault="00420087" w:rsidP="007925BE">
      <w:pPr>
        <w:autoSpaceDE w:val="0"/>
        <w:autoSpaceDN w:val="0"/>
        <w:adjustRightInd w:val="0"/>
        <w:spacing w:after="0" w:line="360" w:lineRule="auto"/>
        <w:ind w:firstLine="720"/>
        <w:jc w:val="both"/>
        <w:rPr>
          <w:rFonts w:ascii="Times New Roman" w:hAnsi="Times New Roman" w:cs="Times New Roman"/>
          <w:sz w:val="24"/>
          <w:szCs w:val="24"/>
          <w:lang w:val="id"/>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B96B81" w:rsidRDefault="00EF5499" w:rsidP="00B96B81">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Pr="00FA0F8B">
          <w:rPr>
            <w:rStyle w:val="Hyperlink"/>
            <w:rFonts w:ascii="Times New Roman" w:hAnsi="Times New Roman" w:cs="Times New Roman"/>
            <w:sz w:val="24"/>
            <w:szCs w:val="24"/>
          </w:rPr>
          <w:t>https://www.talikanews.com/2021/05/06/gubernur-ntb-pedul</w:t>
        </w:r>
        <w:r w:rsidRPr="00FA0F8B">
          <w:rPr>
            <w:rStyle w:val="Hyperlink"/>
            <w:rFonts w:ascii="Times New Roman" w:hAnsi="Times New Roman" w:cs="Times New Roman"/>
            <w:sz w:val="24"/>
            <w:szCs w:val="24"/>
            <w:lang w:val="id-ID"/>
          </w:rPr>
          <w:t>i/</w:t>
        </w:r>
      </w:hyperlink>
      <w:r>
        <w:rPr>
          <w:rStyle w:val="Hyperlink"/>
          <w:rFonts w:ascii="Times New Roman" w:hAnsi="Times New Roman" w:cs="Times New Roman"/>
          <w:color w:val="auto"/>
          <w:sz w:val="24"/>
          <w:szCs w:val="24"/>
          <w:u w:val="none"/>
          <w:lang w:val="id-ID"/>
        </w:rPr>
        <w:t>, Diakses</w:t>
      </w:r>
      <w:r w:rsidR="00D851BE">
        <w:rPr>
          <w:rStyle w:val="Hyperlink"/>
          <w:rFonts w:ascii="Times New Roman" w:hAnsi="Times New Roman" w:cs="Times New Roman"/>
          <w:color w:val="auto"/>
          <w:sz w:val="24"/>
          <w:szCs w:val="24"/>
          <w:u w:val="none"/>
          <w:lang w:val="id-ID"/>
        </w:rPr>
        <w:t xml:space="preserve"> 19 Mei</w:t>
      </w:r>
      <w:r>
        <w:rPr>
          <w:rStyle w:val="Hyperlink"/>
          <w:rFonts w:ascii="Times New Roman" w:hAnsi="Times New Roman" w:cs="Times New Roman"/>
          <w:color w:val="auto"/>
          <w:sz w:val="24"/>
          <w:szCs w:val="24"/>
          <w:u w:val="none"/>
          <w:lang w:val="id-ID"/>
        </w:rPr>
        <w:t xml:space="preserve"> 2021</w:t>
      </w:r>
    </w:p>
    <w:p w:rsidR="001B2D82" w:rsidRPr="00D851BE" w:rsidRDefault="00BE522B" w:rsidP="00D851BE">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9" w:history="1">
        <w:r w:rsidRPr="00FA0F8B">
          <w:rPr>
            <w:rStyle w:val="Hyperlink"/>
            <w:rFonts w:ascii="Times New Roman" w:hAnsi="Times New Roman" w:cs="Times New Roman"/>
            <w:sz w:val="24"/>
            <w:szCs w:val="24"/>
          </w:rPr>
          <w:t>https://radarlombok.co.id/958-petugas-kebersihan-dapat-rp-600-ribu-dan-beras.html</w:t>
        </w:r>
      </w:hyperlink>
      <w:r>
        <w:rPr>
          <w:rStyle w:val="Hyperlink"/>
          <w:rFonts w:ascii="Times New Roman" w:hAnsi="Times New Roman" w:cs="Times New Roman"/>
          <w:color w:val="auto"/>
          <w:sz w:val="24"/>
          <w:szCs w:val="24"/>
          <w:u w:val="none"/>
          <w:lang w:val="id-ID"/>
        </w:rPr>
        <w:t xml:space="preserve">, </w:t>
      </w:r>
      <w:r>
        <w:rPr>
          <w:rStyle w:val="Hyperlink"/>
          <w:rFonts w:ascii="Times New Roman" w:hAnsi="Times New Roman" w:cs="Times New Roman"/>
          <w:color w:val="auto"/>
          <w:sz w:val="24"/>
          <w:szCs w:val="24"/>
          <w:u w:val="none"/>
          <w:lang w:val="id-ID"/>
        </w:rPr>
        <w:t>Diakses</w:t>
      </w:r>
      <w:r w:rsidR="00D851BE">
        <w:rPr>
          <w:rStyle w:val="Hyperlink"/>
          <w:rFonts w:ascii="Times New Roman" w:hAnsi="Times New Roman" w:cs="Times New Roman"/>
          <w:color w:val="auto"/>
          <w:sz w:val="24"/>
          <w:szCs w:val="24"/>
          <w:u w:val="none"/>
          <w:lang w:val="id-ID"/>
        </w:rPr>
        <w:t xml:space="preserve"> 19 Mei</w:t>
      </w:r>
      <w:r>
        <w:rPr>
          <w:rStyle w:val="Hyperlink"/>
          <w:rFonts w:ascii="Times New Roman" w:hAnsi="Times New Roman" w:cs="Times New Roman"/>
          <w:color w:val="auto"/>
          <w:sz w:val="24"/>
          <w:szCs w:val="24"/>
          <w:u w:val="none"/>
          <w:lang w:val="id-ID"/>
        </w:rPr>
        <w:t xml:space="preserve"> 2021</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dianggarkan dalam APBD sesuai dengan kemampuan Keuangan Daerah setelah memprioritaskan pemenuhan belanja Urusan Pemerintahan Wajib dan Urusan Pemerintahan Pilihan, kecuali ditentukan lain sesuai dengan ketentuan peraturan </w:t>
      </w:r>
      <w:proofErr w:type="spellStart"/>
      <w:r>
        <w:rPr>
          <w:rFonts w:ascii="Times New Roman" w:hAnsi="Times New Roman" w:cs="Times New Roman"/>
          <w:sz w:val="24"/>
          <w:szCs w:val="24"/>
          <w:lang w:val="en"/>
        </w:rPr>
        <w:t>perulndang</w:t>
      </w:r>
      <w:proofErr w:type="spellEnd"/>
      <w:r>
        <w:rPr>
          <w:rFonts w:ascii="Times New Roman" w:hAnsi="Times New Roman" w:cs="Times New Roman"/>
          <w:sz w:val="24"/>
          <w:szCs w:val="24"/>
          <w:lang w:val="en"/>
        </w:rPr>
        <w:t>-undangan.</w:t>
      </w:r>
    </w:p>
    <w:p w:rsidR="00F03080" w:rsidRDefault="00F03080"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proofErr w:type="gramStart"/>
      <w:r w:rsidRPr="00D337CC">
        <w:rPr>
          <w:rFonts w:ascii="Times New Roman" w:hAnsi="Times New Roman" w:cs="Times New Roman"/>
          <w:sz w:val="24"/>
          <w:szCs w:val="24"/>
        </w:rPr>
        <w:t>lembaga</w:t>
      </w:r>
      <w:proofErr w:type="gramEnd"/>
      <w:r w:rsidRPr="00D337CC">
        <w:rPr>
          <w:rFonts w:ascii="Times New Roman" w:hAnsi="Times New Roman" w:cs="Times New Roman"/>
          <w:sz w:val="24"/>
          <w:szCs w:val="24"/>
        </w:rPr>
        <w:t xml:space="preserve">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lastRenderedPageBreak/>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rsidR="00E3058B" w:rsidRPr="00DE5533" w:rsidRDefault="00274BA0" w:rsidP="002C6968">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proofErr w:type="gramStart"/>
      <w:r w:rsidRPr="00C5328D">
        <w:rPr>
          <w:rFonts w:ascii="Times New Roman" w:hAnsi="Times New Roman" w:cs="Times New Roman"/>
          <w:sz w:val="24"/>
          <w:szCs w:val="24"/>
          <w:lang w:val="en"/>
        </w:rPr>
        <w:t>penanggulangan</w:t>
      </w:r>
      <w:proofErr w:type="gramEnd"/>
      <w:r w:rsidRPr="00C5328D">
        <w:rPr>
          <w:rFonts w:ascii="Times New Roman" w:hAnsi="Times New Roman" w:cs="Times New Roman"/>
          <w:sz w:val="24"/>
          <w:szCs w:val="24"/>
          <w:lang w:val="en"/>
        </w:rPr>
        <w:t xml:space="preserve"> bencana.</w:t>
      </w:r>
    </w:p>
    <w:p w:rsidR="00DE5533" w:rsidRDefault="00DE5533" w:rsidP="00DE5533">
      <w:pPr>
        <w:autoSpaceDE w:val="0"/>
        <w:autoSpaceDN w:val="0"/>
        <w:adjustRightInd w:val="0"/>
        <w:spacing w:after="0" w:line="360" w:lineRule="auto"/>
        <w:ind w:left="644"/>
        <w:jc w:val="both"/>
        <w:rPr>
          <w:rFonts w:ascii="Times New Roman" w:hAnsi="Times New Roman" w:cs="Times New Roman"/>
          <w:sz w:val="24"/>
          <w:szCs w:val="24"/>
        </w:rPr>
      </w:pPr>
    </w:p>
    <w:p w:rsidR="00DE5533" w:rsidRDefault="00DE5533" w:rsidP="00DE5533">
      <w:pPr>
        <w:autoSpaceDE w:val="0"/>
        <w:autoSpaceDN w:val="0"/>
        <w:adjustRightInd w:val="0"/>
        <w:spacing w:after="0" w:line="360" w:lineRule="auto"/>
        <w:ind w:left="644"/>
        <w:jc w:val="both"/>
        <w:rPr>
          <w:rFonts w:ascii="Times New Roman" w:hAnsi="Times New Roman" w:cs="Times New Roman"/>
          <w:sz w:val="24"/>
          <w:szCs w:val="24"/>
        </w:rPr>
      </w:pPr>
    </w:p>
    <w:p w:rsidR="00DE5533" w:rsidRDefault="00DE5533" w:rsidP="00DE5533">
      <w:pPr>
        <w:autoSpaceDE w:val="0"/>
        <w:autoSpaceDN w:val="0"/>
        <w:adjustRightInd w:val="0"/>
        <w:spacing w:after="0" w:line="360" w:lineRule="auto"/>
        <w:ind w:left="644"/>
        <w:jc w:val="both"/>
        <w:rPr>
          <w:rFonts w:ascii="Times New Roman" w:hAnsi="Times New Roman" w:cs="Times New Roman"/>
          <w:sz w:val="24"/>
          <w:szCs w:val="24"/>
        </w:rPr>
      </w:pPr>
    </w:p>
    <w:p w:rsidR="00DE5533" w:rsidRPr="00EE5010" w:rsidRDefault="00DE5533" w:rsidP="00DE5533">
      <w:pPr>
        <w:pStyle w:val="ListParagraph"/>
        <w:tabs>
          <w:tab w:val="left" w:pos="284"/>
        </w:tabs>
        <w:spacing w:line="312" w:lineRule="auto"/>
        <w:ind w:left="0"/>
        <w:jc w:val="both"/>
        <w:rPr>
          <w:bCs/>
          <w:i/>
          <w:iCs/>
          <w:lang w:val="id-ID"/>
        </w:rPr>
      </w:pPr>
      <w:r w:rsidRPr="00EE5010">
        <w:rPr>
          <w:bCs/>
          <w:i/>
          <w:iCs/>
          <w:lang w:val="id-ID"/>
        </w:rPr>
        <w:t>Disclaimer:</w:t>
      </w:r>
    </w:p>
    <w:p w:rsidR="00DE5533" w:rsidRPr="0041632E" w:rsidRDefault="00DE5533" w:rsidP="00DE5533">
      <w:pPr>
        <w:spacing w:after="0" w:line="240" w:lineRule="auto"/>
        <w:jc w:val="both"/>
        <w:rPr>
          <w:rFonts w:ascii="Times New Roman" w:hAnsi="Times New Roman" w:cs="Times New Roman"/>
          <w:sz w:val="24"/>
          <w:szCs w:val="24"/>
          <w:lang w:val="id-ID"/>
        </w:rPr>
      </w:pPr>
      <w:r w:rsidRPr="00EE5010">
        <w:rPr>
          <w:bCs/>
          <w:i/>
          <w:iCs/>
          <w:lang w:val="id-ID"/>
        </w:rPr>
        <w:t>Ulasan hukum dalam catatan berita ini merupakan informasi yang bersifat umum bagi publik, bukan merupakan</w:t>
      </w:r>
      <w:r>
        <w:rPr>
          <w:bCs/>
          <w:i/>
          <w:iCs/>
          <w:lang w:val="id-ID"/>
        </w:rPr>
        <w:t xml:space="preserve"> suatu</w:t>
      </w:r>
      <w:r w:rsidRPr="00EE5010">
        <w:rPr>
          <w:bCs/>
          <w:i/>
          <w:iCs/>
          <w:lang w:val="id-ID"/>
        </w:rPr>
        <w:t xml:space="preserve"> pendapat/pendapat hukum BPK Perwakilan Provinsi NTB</w:t>
      </w:r>
    </w:p>
    <w:p w:rsidR="00DE5533" w:rsidRPr="00901218" w:rsidRDefault="00DE5533" w:rsidP="00DE5533">
      <w:pPr>
        <w:spacing w:line="360" w:lineRule="auto"/>
        <w:jc w:val="both"/>
        <w:rPr>
          <w:rFonts w:ascii="Times New Roman" w:eastAsia="Times New Roman" w:hAnsi="Times New Roman" w:cs="Times New Roman"/>
          <w:lang w:val="id-ID" w:eastAsia="id-ID"/>
        </w:rPr>
      </w:pPr>
    </w:p>
    <w:p w:rsidR="00DE5533" w:rsidRPr="00DE5533" w:rsidRDefault="00DE5533" w:rsidP="00DE5533">
      <w:pPr>
        <w:autoSpaceDE w:val="0"/>
        <w:autoSpaceDN w:val="0"/>
        <w:adjustRightInd w:val="0"/>
        <w:spacing w:after="0" w:line="360" w:lineRule="auto"/>
        <w:ind w:left="644"/>
        <w:jc w:val="both"/>
        <w:rPr>
          <w:rFonts w:ascii="Times New Roman" w:hAnsi="Times New Roman" w:cs="Times New Roman"/>
          <w:sz w:val="24"/>
          <w:szCs w:val="24"/>
          <w:lang w:val="id-ID"/>
        </w:rPr>
      </w:pPr>
      <w:bookmarkStart w:id="0" w:name="_GoBack"/>
      <w:bookmarkEnd w:id="0"/>
    </w:p>
    <w:sectPr w:rsidR="00DE5533" w:rsidRPr="00DE55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8F" w:rsidRDefault="00A6088F" w:rsidP="00420087">
      <w:pPr>
        <w:spacing w:after="0" w:line="240" w:lineRule="auto"/>
      </w:pPr>
      <w:r>
        <w:separator/>
      </w:r>
    </w:p>
  </w:endnote>
  <w:endnote w:type="continuationSeparator" w:id="0">
    <w:p w:rsidR="00A6088F" w:rsidRDefault="00A6088F" w:rsidP="0042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F3" w:rsidRDefault="00567CF3" w:rsidP="00567CF3">
    <w:pPr>
      <w:pStyle w:val="Header"/>
    </w:pPr>
  </w:p>
  <w:p w:rsidR="00567CF3" w:rsidRDefault="00567CF3" w:rsidP="00567CF3"/>
  <w:p w:rsidR="00567CF3" w:rsidRDefault="00567CF3" w:rsidP="00567CF3">
    <w:pPr>
      <w:pStyle w:val="Footer"/>
    </w:pPr>
  </w:p>
  <w:p w:rsidR="00567CF3" w:rsidRDefault="00567CF3" w:rsidP="00567CF3"/>
  <w:p w:rsidR="00567CF3" w:rsidRPr="007C56DB" w:rsidRDefault="00567CF3" w:rsidP="00567CF3">
    <w:pPr>
      <w:pStyle w:val="Footer"/>
      <w:pBdr>
        <w:top w:val="thinThickSmallGap" w:sz="24" w:space="1" w:color="823B0B" w:themeColor="accent2" w:themeShade="7F"/>
      </w:pBdr>
      <w:rPr>
        <w:rFonts w:asciiTheme="majorHAnsi" w:eastAsiaTheme="majorEastAsia" w:hAnsiTheme="majorHAnsi" w:cstheme="majorBidi"/>
        <w:i/>
        <w:iCs/>
      </w:rPr>
    </w:pPr>
    <w:r w:rsidRPr="007C56DB">
      <w:rPr>
        <w:rFonts w:asciiTheme="majorHAnsi" w:eastAsiaTheme="majorEastAsia" w:hAnsiTheme="majorHAnsi" w:cstheme="majorBidi"/>
        <w:i/>
        <w:iCs/>
        <w:lang w:val="id-ID"/>
      </w:rPr>
      <w:t xml:space="preserve">Catatan Berita </w:t>
    </w:r>
    <w:r>
      <w:rPr>
        <w:rFonts w:asciiTheme="majorHAnsi" w:eastAsiaTheme="majorEastAsia" w:hAnsiTheme="majorHAnsi" w:cstheme="majorBidi"/>
        <w:i/>
        <w:iCs/>
        <w:lang w:val="id-ID"/>
      </w:rPr>
      <w:t xml:space="preserve">Tim </w:t>
    </w:r>
    <w:r w:rsidRPr="007C56DB">
      <w:rPr>
        <w:rFonts w:asciiTheme="majorHAnsi" w:eastAsiaTheme="majorEastAsia" w:hAnsiTheme="majorHAnsi" w:cstheme="majorBidi"/>
        <w:i/>
        <w:iCs/>
        <w:lang w:val="id-ID"/>
      </w:rPr>
      <w:t xml:space="preserve">UJDIH BPK Perwakilan Provinsi </w:t>
    </w:r>
    <w:r>
      <w:rPr>
        <w:rFonts w:asciiTheme="majorHAnsi" w:eastAsiaTheme="majorEastAsia" w:hAnsiTheme="majorHAnsi" w:cstheme="majorBidi"/>
        <w:i/>
        <w:iCs/>
        <w:lang w:val="id-ID"/>
      </w:rPr>
      <w:t>NTB</w:t>
    </w:r>
    <w:r w:rsidRPr="007C56DB">
      <w:rPr>
        <w:rFonts w:asciiTheme="majorHAnsi" w:eastAsiaTheme="majorEastAsia" w:hAnsiTheme="majorHAnsi" w:cstheme="majorBidi"/>
        <w:i/>
        <w:iCs/>
        <w:lang w:val="id-ID"/>
      </w:rPr>
      <w:t xml:space="preserve"> 2021/</w:t>
    </w:r>
    <w:r>
      <w:rPr>
        <w:rFonts w:asciiTheme="majorHAnsi" w:eastAsiaTheme="majorEastAsia" w:hAnsiTheme="majorHAnsi" w:cstheme="majorBidi"/>
        <w:i/>
        <w:iCs/>
        <w:lang w:val="id-ID"/>
      </w:rPr>
      <w:t>BLES</w:t>
    </w:r>
    <w:r w:rsidRPr="007C56DB">
      <w:rPr>
        <w:rFonts w:asciiTheme="majorHAnsi" w:eastAsiaTheme="majorEastAsia" w:hAnsiTheme="majorHAnsi" w:cstheme="majorBidi"/>
        <w:i/>
        <w:iCs/>
      </w:rPr>
      <w:ptab w:relativeTo="margin" w:alignment="right" w:leader="none"/>
    </w:r>
    <w:r w:rsidRPr="007C56DB">
      <w:rPr>
        <w:rFonts w:asciiTheme="majorHAnsi" w:eastAsiaTheme="majorEastAsia" w:hAnsiTheme="majorHAnsi" w:cstheme="majorBidi"/>
        <w:i/>
        <w:iCs/>
      </w:rPr>
      <w:t xml:space="preserve"> </w:t>
    </w:r>
    <w:r w:rsidRPr="007C56DB">
      <w:rPr>
        <w:rFonts w:eastAsiaTheme="minorEastAsia"/>
        <w:i/>
        <w:iCs/>
      </w:rPr>
      <w:fldChar w:fldCharType="begin"/>
    </w:r>
    <w:r w:rsidRPr="007C56DB">
      <w:rPr>
        <w:i/>
        <w:iCs/>
      </w:rPr>
      <w:instrText xml:space="preserve"> PAGE   \* MERGEFORMAT </w:instrText>
    </w:r>
    <w:r w:rsidRPr="007C56DB">
      <w:rPr>
        <w:rFonts w:eastAsiaTheme="minorEastAsia"/>
        <w:i/>
        <w:iCs/>
      </w:rPr>
      <w:fldChar w:fldCharType="separate"/>
    </w:r>
    <w:r w:rsidR="00DE5533" w:rsidRPr="00DE5533">
      <w:rPr>
        <w:rFonts w:asciiTheme="majorHAnsi" w:eastAsiaTheme="majorEastAsia" w:hAnsiTheme="majorHAnsi" w:cstheme="majorBidi"/>
        <w:i/>
        <w:iCs/>
        <w:noProof/>
      </w:rPr>
      <w:t>4</w:t>
    </w:r>
    <w:r w:rsidRPr="007C56DB">
      <w:rPr>
        <w:rFonts w:asciiTheme="majorHAnsi" w:eastAsiaTheme="majorEastAsia" w:hAnsiTheme="majorHAnsi" w:cstheme="majorBidi"/>
        <w:i/>
        <w:iCs/>
        <w:noProof/>
      </w:rPr>
      <w:fldChar w:fldCharType="end"/>
    </w:r>
  </w:p>
  <w:p w:rsidR="00567CF3" w:rsidRPr="003D0F0D" w:rsidRDefault="00567CF3" w:rsidP="00567CF3">
    <w:pPr>
      <w:pStyle w:val="Footer"/>
    </w:pPr>
  </w:p>
  <w:p w:rsidR="00420087" w:rsidRPr="00567CF3" w:rsidRDefault="00420087" w:rsidP="00567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8F" w:rsidRDefault="00A6088F" w:rsidP="00420087">
      <w:pPr>
        <w:spacing w:after="0" w:line="240" w:lineRule="auto"/>
      </w:pPr>
      <w:r>
        <w:separator/>
      </w:r>
    </w:p>
  </w:footnote>
  <w:footnote w:type="continuationSeparator" w:id="0">
    <w:p w:rsidR="00A6088F" w:rsidRDefault="00A6088F" w:rsidP="00420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5C70A300"/>
    <w:lvl w:ilvl="0" w:tplc="0409000B">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D98356C"/>
    <w:multiLevelType w:val="hybridMultilevel"/>
    <w:tmpl w:val="761ECEE2"/>
    <w:lvl w:ilvl="0" w:tplc="A9A49C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7"/>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724F4"/>
    <w:rsid w:val="000B555A"/>
    <w:rsid w:val="000D1EE1"/>
    <w:rsid w:val="000E7BDD"/>
    <w:rsid w:val="001251C8"/>
    <w:rsid w:val="001265A7"/>
    <w:rsid w:val="001B2D82"/>
    <w:rsid w:val="001B408B"/>
    <w:rsid w:val="00221450"/>
    <w:rsid w:val="00274BA0"/>
    <w:rsid w:val="00281A40"/>
    <w:rsid w:val="00285626"/>
    <w:rsid w:val="002F68FB"/>
    <w:rsid w:val="003053EF"/>
    <w:rsid w:val="003C091A"/>
    <w:rsid w:val="00420087"/>
    <w:rsid w:val="0047537C"/>
    <w:rsid w:val="00493B59"/>
    <w:rsid w:val="004C1BC9"/>
    <w:rsid w:val="004C7ACD"/>
    <w:rsid w:val="004D30CC"/>
    <w:rsid w:val="004F1FCF"/>
    <w:rsid w:val="005212A7"/>
    <w:rsid w:val="0055080E"/>
    <w:rsid w:val="00567CF3"/>
    <w:rsid w:val="005A6CCD"/>
    <w:rsid w:val="005C1BCC"/>
    <w:rsid w:val="005D42D0"/>
    <w:rsid w:val="00633823"/>
    <w:rsid w:val="006A43C9"/>
    <w:rsid w:val="006B3151"/>
    <w:rsid w:val="00743298"/>
    <w:rsid w:val="007925BE"/>
    <w:rsid w:val="007E74EA"/>
    <w:rsid w:val="0082050B"/>
    <w:rsid w:val="008C5811"/>
    <w:rsid w:val="008D446F"/>
    <w:rsid w:val="008E42AB"/>
    <w:rsid w:val="00946D24"/>
    <w:rsid w:val="009C255A"/>
    <w:rsid w:val="009D2AE0"/>
    <w:rsid w:val="009E3870"/>
    <w:rsid w:val="00A6088F"/>
    <w:rsid w:val="00A707EC"/>
    <w:rsid w:val="00A73E6E"/>
    <w:rsid w:val="00AB2487"/>
    <w:rsid w:val="00B07558"/>
    <w:rsid w:val="00B23A29"/>
    <w:rsid w:val="00B96B81"/>
    <w:rsid w:val="00BD20A0"/>
    <w:rsid w:val="00BE522B"/>
    <w:rsid w:val="00BE532B"/>
    <w:rsid w:val="00BF6616"/>
    <w:rsid w:val="00C07157"/>
    <w:rsid w:val="00C23360"/>
    <w:rsid w:val="00C5328D"/>
    <w:rsid w:val="00C80B5F"/>
    <w:rsid w:val="00C914B3"/>
    <w:rsid w:val="00CB25F6"/>
    <w:rsid w:val="00CD2C88"/>
    <w:rsid w:val="00CD476B"/>
    <w:rsid w:val="00D337CC"/>
    <w:rsid w:val="00D84EC8"/>
    <w:rsid w:val="00D851BE"/>
    <w:rsid w:val="00D91C8E"/>
    <w:rsid w:val="00DC1A5A"/>
    <w:rsid w:val="00DD2A0E"/>
    <w:rsid w:val="00DE5533"/>
    <w:rsid w:val="00E3058B"/>
    <w:rsid w:val="00E54BA2"/>
    <w:rsid w:val="00E9799C"/>
    <w:rsid w:val="00EA169B"/>
    <w:rsid w:val="00EE22C0"/>
    <w:rsid w:val="00EF5499"/>
    <w:rsid w:val="00F03080"/>
    <w:rsid w:val="00F36618"/>
    <w:rsid w:val="00F80F46"/>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420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87"/>
  </w:style>
  <w:style w:type="paragraph" w:styleId="Footer">
    <w:name w:val="footer"/>
    <w:basedOn w:val="Normal"/>
    <w:link w:val="FooterChar"/>
    <w:uiPriority w:val="99"/>
    <w:unhideWhenUsed/>
    <w:rsid w:val="00420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87"/>
  </w:style>
  <w:style w:type="character" w:customStyle="1" w:styleId="ListParagraphChar">
    <w:name w:val="List Paragraph Char"/>
    <w:link w:val="ListParagraph"/>
    <w:uiPriority w:val="34"/>
    <w:rsid w:val="00DE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6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ikanews.com/2021/05/06/gubernur-ntb-pedul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darlombok.co.id/958-petugas-kebersihan-dapat-rp-600-ribu-dan-ber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14</cp:revision>
  <dcterms:created xsi:type="dcterms:W3CDTF">2021-01-11T01:15:00Z</dcterms:created>
  <dcterms:modified xsi:type="dcterms:W3CDTF">2021-11-22T04:49:00Z</dcterms:modified>
</cp:coreProperties>
</file>